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2DD2A" w14:textId="2EA12F41" w:rsidR="00917DD2" w:rsidRPr="003A5073" w:rsidRDefault="00917DD2" w:rsidP="00917DD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3A5073">
        <w:rPr>
          <w:bCs/>
          <w:noProof w:val="0"/>
          <w:sz w:val="24"/>
          <w:szCs w:val="24"/>
          <w:lang w:val="en-US"/>
        </w:rPr>
        <w:t>3GPP TSG-RAN WG2 Meeting #10</w:t>
      </w:r>
      <w:r w:rsidR="00BD13C8" w:rsidRPr="003A5073">
        <w:rPr>
          <w:bCs/>
          <w:noProof w:val="0"/>
          <w:sz w:val="24"/>
          <w:szCs w:val="24"/>
          <w:lang w:val="en-US"/>
        </w:rPr>
        <w:t>6</w:t>
      </w:r>
      <w:r w:rsidRPr="003A5073">
        <w:rPr>
          <w:bCs/>
          <w:noProof w:val="0"/>
          <w:sz w:val="24"/>
          <w:szCs w:val="24"/>
          <w:lang w:val="en-US"/>
        </w:rPr>
        <w:tab/>
      </w:r>
      <w:r w:rsidRPr="00507692">
        <w:rPr>
          <w:bCs/>
          <w:noProof w:val="0"/>
          <w:sz w:val="24"/>
          <w:szCs w:val="24"/>
          <w:lang w:val="en-US"/>
        </w:rPr>
        <w:t>R2-19</w:t>
      </w:r>
      <w:r w:rsidR="00DF622D">
        <w:rPr>
          <w:bCs/>
          <w:noProof w:val="0"/>
          <w:sz w:val="24"/>
          <w:szCs w:val="24"/>
          <w:lang w:val="en-US"/>
        </w:rPr>
        <w:t>06751</w:t>
      </w:r>
    </w:p>
    <w:p w14:paraId="231362B2" w14:textId="0128E2A5" w:rsidR="00CD4C7B" w:rsidRPr="003A5073" w:rsidRDefault="00BD13C8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val="it-IT" w:eastAsia="zh-CN"/>
        </w:rPr>
      </w:pPr>
      <w:r w:rsidRPr="003A5073">
        <w:rPr>
          <w:bCs/>
          <w:sz w:val="24"/>
          <w:szCs w:val="24"/>
          <w:lang w:val="it-IT" w:eastAsia="zh-CN"/>
        </w:rPr>
        <w:t>Reno, USA, 13 – 17 May 2019</w:t>
      </w:r>
      <w:r w:rsidR="00364B41" w:rsidRPr="003A5073">
        <w:rPr>
          <w:rFonts w:eastAsia="SimSun"/>
          <w:noProof w:val="0"/>
          <w:sz w:val="24"/>
          <w:szCs w:val="24"/>
          <w:lang w:val="it-IT" w:eastAsia="zh-CN"/>
        </w:rPr>
        <w:tab/>
      </w:r>
    </w:p>
    <w:p w14:paraId="39BE00F6" w14:textId="77777777" w:rsidR="00CD4C7B" w:rsidRPr="003A5073" w:rsidRDefault="00CD4C7B" w:rsidP="00CD4C7B">
      <w:pPr>
        <w:pStyle w:val="Header"/>
        <w:rPr>
          <w:bCs/>
          <w:noProof w:val="0"/>
          <w:sz w:val="24"/>
          <w:lang w:val="it-IT"/>
        </w:rPr>
      </w:pPr>
    </w:p>
    <w:p w14:paraId="49379CFB" w14:textId="77777777" w:rsidR="00CD4C7B" w:rsidRPr="003A5073" w:rsidRDefault="00CD4C7B" w:rsidP="00CD4C7B">
      <w:pPr>
        <w:pStyle w:val="Header"/>
        <w:rPr>
          <w:bCs/>
          <w:noProof w:val="0"/>
          <w:sz w:val="24"/>
          <w:lang w:val="it-IT"/>
        </w:rPr>
      </w:pPr>
    </w:p>
    <w:p w14:paraId="758E2B30" w14:textId="4DAE6A3A" w:rsidR="00CD4C7B" w:rsidRPr="003A5073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it-IT" w:eastAsia="ja-JP"/>
        </w:rPr>
      </w:pPr>
      <w:r w:rsidRPr="003A5073">
        <w:rPr>
          <w:rFonts w:cs="Arial"/>
          <w:b/>
          <w:bCs/>
          <w:sz w:val="24"/>
          <w:lang w:val="it-IT"/>
        </w:rPr>
        <w:t>Agenda item:</w:t>
      </w:r>
      <w:r w:rsidRPr="003A5073">
        <w:rPr>
          <w:rFonts w:cs="Arial"/>
          <w:b/>
          <w:bCs/>
          <w:sz w:val="24"/>
          <w:lang w:val="it-IT"/>
        </w:rPr>
        <w:tab/>
      </w:r>
      <w:r w:rsidR="00507692">
        <w:rPr>
          <w:rFonts w:eastAsia="SimSun" w:cs="Arial"/>
          <w:b/>
          <w:bCs/>
          <w:sz w:val="24"/>
          <w:lang w:val="it-IT"/>
        </w:rPr>
        <w:t>11.2.2.2</w:t>
      </w:r>
    </w:p>
    <w:p w14:paraId="6A1BC0C1" w14:textId="2FF76E31" w:rsidR="00CD4C7B" w:rsidRPr="003A5073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3A5073">
        <w:rPr>
          <w:rFonts w:ascii="Arial" w:hAnsi="Arial" w:cs="Arial"/>
          <w:b/>
          <w:bCs/>
          <w:sz w:val="24"/>
          <w:lang w:val="en-US"/>
        </w:rPr>
        <w:t>Source:</w:t>
      </w:r>
      <w:r w:rsidRPr="003A5073">
        <w:rPr>
          <w:rFonts w:ascii="Arial" w:hAnsi="Arial" w:cs="Arial"/>
          <w:b/>
          <w:bCs/>
          <w:sz w:val="24"/>
          <w:lang w:val="en-US"/>
        </w:rPr>
        <w:tab/>
      </w:r>
      <w:r w:rsidR="001741A0" w:rsidRPr="003A5073">
        <w:rPr>
          <w:rFonts w:ascii="Arial" w:hAnsi="Arial" w:cs="Arial"/>
          <w:b/>
          <w:bCs/>
          <w:sz w:val="24"/>
          <w:lang w:val="en-US"/>
        </w:rPr>
        <w:t>Nokia</w:t>
      </w:r>
      <w:r w:rsidR="00090468" w:rsidRPr="003A507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325AE3" w:rsidRPr="003A5073">
        <w:rPr>
          <w:rFonts w:ascii="Arial" w:hAnsi="Arial" w:cs="Arial"/>
          <w:b/>
          <w:bCs/>
          <w:sz w:val="24"/>
          <w:lang w:val="en-US"/>
        </w:rPr>
        <w:t>Nokia</w:t>
      </w:r>
      <w:r w:rsidR="00090468" w:rsidRPr="003A5073">
        <w:rPr>
          <w:rFonts w:ascii="Arial" w:hAnsi="Arial" w:cs="Arial"/>
          <w:b/>
          <w:bCs/>
          <w:sz w:val="24"/>
          <w:lang w:val="en-US"/>
        </w:rPr>
        <w:t xml:space="preserve"> Shanghai Bell</w:t>
      </w:r>
    </w:p>
    <w:p w14:paraId="45BE90BE" w14:textId="118D0DD6" w:rsidR="00CD4C7B" w:rsidRPr="003A5073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3A5073">
        <w:rPr>
          <w:rFonts w:ascii="Arial" w:hAnsi="Arial" w:cs="Arial"/>
          <w:b/>
          <w:bCs/>
          <w:sz w:val="24"/>
          <w:lang w:val="en-US"/>
        </w:rPr>
        <w:t>Title:</w:t>
      </w:r>
      <w:r w:rsidRPr="003A5073">
        <w:rPr>
          <w:rFonts w:ascii="Arial" w:hAnsi="Arial" w:cs="Arial"/>
          <w:b/>
          <w:bCs/>
          <w:sz w:val="24"/>
          <w:lang w:val="en-US"/>
        </w:rPr>
        <w:tab/>
      </w:r>
      <w:bookmarkStart w:id="0" w:name="_Hlk7706521"/>
      <w:r w:rsidR="0089556F" w:rsidRPr="003A5073">
        <w:rPr>
          <w:rFonts w:ascii="Arial" w:hAnsi="Arial" w:cs="Arial"/>
          <w:b/>
          <w:bCs/>
          <w:sz w:val="24"/>
          <w:lang w:val="en-US"/>
        </w:rPr>
        <w:t xml:space="preserve">On </w:t>
      </w:r>
      <w:r w:rsidR="00B54AB9" w:rsidRPr="003A5073">
        <w:rPr>
          <w:rFonts w:ascii="Arial" w:hAnsi="Arial" w:cs="Arial"/>
          <w:b/>
          <w:bCs/>
          <w:sz w:val="24"/>
          <w:lang w:val="en-US"/>
        </w:rPr>
        <w:t xml:space="preserve">the relation between DRS transmission opportunity window and </w:t>
      </w:r>
      <w:r w:rsidR="00F93A3B" w:rsidRPr="003A5073">
        <w:rPr>
          <w:rFonts w:ascii="Arial" w:hAnsi="Arial" w:cs="Arial"/>
          <w:b/>
          <w:bCs/>
          <w:sz w:val="24"/>
          <w:lang w:val="en-US"/>
        </w:rPr>
        <w:t>SMTC in NR-U</w:t>
      </w:r>
      <w:bookmarkEnd w:id="0"/>
    </w:p>
    <w:p w14:paraId="3AC3A0B1" w14:textId="35ABCB7B" w:rsidR="00CD4C7B" w:rsidRPr="003A5073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3A5073">
        <w:rPr>
          <w:rFonts w:ascii="Arial" w:hAnsi="Arial" w:cs="Arial"/>
          <w:b/>
          <w:bCs/>
          <w:sz w:val="24"/>
          <w:lang w:val="en-US"/>
        </w:rPr>
        <w:t>WID/SID:</w:t>
      </w:r>
      <w:r w:rsidRPr="003A5073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AC1944" w:rsidRPr="003A5073">
        <w:rPr>
          <w:rFonts w:ascii="Arial" w:eastAsia="Arial" w:hAnsi="Arial" w:cs="Arial"/>
          <w:b/>
          <w:bCs/>
          <w:sz w:val="24"/>
          <w:szCs w:val="24"/>
          <w:lang w:val="en-US"/>
        </w:rPr>
        <w:t>NR_unlic</w:t>
      </w:r>
      <w:proofErr w:type="spellEnd"/>
      <w:r w:rsidR="00AC1944" w:rsidRPr="003A5073">
        <w:rPr>
          <w:rFonts w:ascii="Arial" w:eastAsia="Arial" w:hAnsi="Arial" w:cs="Arial"/>
          <w:b/>
          <w:bCs/>
          <w:sz w:val="24"/>
          <w:szCs w:val="24"/>
          <w:lang w:val="en-US"/>
        </w:rPr>
        <w:t>-Core - Release 16</w:t>
      </w:r>
    </w:p>
    <w:p w14:paraId="7DF86DB4" w14:textId="77777777" w:rsidR="00CD4C7B" w:rsidRPr="003A5073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3A5073">
        <w:rPr>
          <w:rFonts w:ascii="Arial" w:hAnsi="Arial" w:cs="Arial"/>
          <w:b/>
          <w:bCs/>
          <w:sz w:val="24"/>
          <w:lang w:val="en-US"/>
        </w:rPr>
        <w:t>Document for:</w:t>
      </w:r>
      <w:r w:rsidRPr="003A5073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36A644F7" w14:textId="45E93713" w:rsidR="00AC1944" w:rsidRPr="003A5073" w:rsidRDefault="00CD4C7B" w:rsidP="00AC1944">
      <w:pPr>
        <w:pStyle w:val="Heading1"/>
        <w:rPr>
          <w:lang w:val="en-US"/>
        </w:rPr>
      </w:pPr>
      <w:r w:rsidRPr="003A5073">
        <w:rPr>
          <w:lang w:val="en-US"/>
        </w:rPr>
        <w:t>1</w:t>
      </w:r>
      <w:r w:rsidR="00AC1944" w:rsidRPr="003A5073">
        <w:rPr>
          <w:lang w:val="en-US"/>
        </w:rPr>
        <w:tab/>
        <w:t>Introduction</w:t>
      </w:r>
    </w:p>
    <w:p w14:paraId="4E784D86" w14:textId="77777777" w:rsidR="006C79C0" w:rsidRPr="003A5073" w:rsidRDefault="006C79C0" w:rsidP="006C79C0">
      <w:pPr>
        <w:jc w:val="both"/>
        <w:rPr>
          <w:lang w:val="en-US"/>
        </w:rPr>
      </w:pPr>
      <w:r w:rsidRPr="003A5073">
        <w:rPr>
          <w:lang w:val="en-US"/>
        </w:rPr>
        <w:t>Following the completion of the study item on NR-based access to unlicensed spectrum, a work item has been approved in 3GPP RAN #82 [1]. One of the objectives of the NR-U work item is to introduce support of mobility in unlicensed spectrum:</w:t>
      </w:r>
    </w:p>
    <w:p w14:paraId="7842F8AD" w14:textId="77777777" w:rsidR="006C79C0" w:rsidRPr="003A5073" w:rsidRDefault="006C79C0" w:rsidP="006C79C0">
      <w:pPr>
        <w:pStyle w:val="B2"/>
        <w:ind w:left="567" w:firstLine="0"/>
        <w:jc w:val="both"/>
        <w:rPr>
          <w:i/>
          <w:lang w:val="en-US"/>
        </w:rPr>
      </w:pPr>
      <w:r w:rsidRPr="003A5073">
        <w:rPr>
          <w:i/>
          <w:lang w:val="en-US"/>
        </w:rPr>
        <w:t xml:space="preserve">Mobility: For non-standalone NR-U deployments, connected mode mobility is supported on licensed spectrum using the baseline mobility procedure specified for the concerned licensed radio access technology (LTE or NR). For standalone NR-U deployments, specify mechanisms for inter-cell handover between NR-U and NR-U, inter-cell handover between NR-U and NR, and Inter-RAT handover between NR-U and LTE (connected to either EPC of 5GC). Extensions of mobility-related measurement reporting for unlicensed operation including channel occupancy indication and RSSI measurements. </w:t>
      </w:r>
    </w:p>
    <w:p w14:paraId="3C4AED60" w14:textId="04BD822D" w:rsidR="006C79C0" w:rsidRPr="003A5073" w:rsidRDefault="006C79C0" w:rsidP="006C79C0">
      <w:pPr>
        <w:jc w:val="both"/>
        <w:rPr>
          <w:lang w:val="en-US"/>
        </w:rPr>
      </w:pPr>
      <w:r w:rsidRPr="003A5073">
        <w:rPr>
          <w:lang w:val="en-US"/>
        </w:rPr>
        <w:t xml:space="preserve">As the RRM framework to support </w:t>
      </w:r>
      <w:r w:rsidR="0008045C" w:rsidRPr="003A5073">
        <w:rPr>
          <w:lang w:val="en-US"/>
        </w:rPr>
        <w:t xml:space="preserve">serving cell and neighbor cell measurements </w:t>
      </w:r>
      <w:r w:rsidRPr="003A5073">
        <w:rPr>
          <w:lang w:val="en-US"/>
        </w:rPr>
        <w:t>in unlicensed spectrum, the Rel-15 NR RRM framework is assumed as baseline.</w:t>
      </w:r>
      <w:r w:rsidR="00CF4DB5" w:rsidRPr="003A5073">
        <w:rPr>
          <w:lang w:val="en-US"/>
        </w:rPr>
        <w:t xml:space="preserve"> It should also ne be noted that</w:t>
      </w:r>
      <w:r w:rsidRPr="003A5073">
        <w:rPr>
          <w:lang w:val="en-US"/>
        </w:rPr>
        <w:t xml:space="preserve"> </w:t>
      </w:r>
      <w:r w:rsidR="00CF4DB5" w:rsidRPr="003A5073">
        <w:rPr>
          <w:lang w:val="en-US"/>
        </w:rPr>
        <w:t xml:space="preserve">NR-U should support </w:t>
      </w:r>
      <w:r w:rsidR="00CF4DB5" w:rsidRPr="003A5073">
        <w:rPr>
          <w:lang w:val="en-US" w:eastAsia="x-none"/>
        </w:rPr>
        <w:t xml:space="preserve">RRM, RLM, and mobility procedures in asynchronous deployments </w:t>
      </w:r>
      <w:r w:rsidR="00CF4DB5" w:rsidRPr="003A5073">
        <w:rPr>
          <w:lang w:val="en-US"/>
        </w:rPr>
        <w:t>[2].</w:t>
      </w:r>
    </w:p>
    <w:p w14:paraId="21813E57" w14:textId="77777777" w:rsidR="006C79C0" w:rsidRPr="003A5073" w:rsidRDefault="006C79C0" w:rsidP="006C79C0">
      <w:pPr>
        <w:ind w:left="567"/>
        <w:jc w:val="both"/>
        <w:rPr>
          <w:i/>
          <w:lang w:val="en-US" w:eastAsia="x-none"/>
        </w:rPr>
      </w:pPr>
      <w:r w:rsidRPr="003A5073">
        <w:rPr>
          <w:i/>
          <w:lang w:val="en-US" w:eastAsia="x-none"/>
        </w:rPr>
        <w:t>For RRM, RLM, and mobility procedures, NR licensed specification in Rel-15 are considered as a baseline for NR-U. However, changes to these due to new physical layer design and LBT for the unlicensed operation can be introduced. These will support both synchronous and, except for LAA case, asynchronous deployments.</w:t>
      </w:r>
    </w:p>
    <w:p w14:paraId="76414780" w14:textId="77777777" w:rsidR="006C79C0" w:rsidRPr="003A5073" w:rsidRDefault="006C79C0" w:rsidP="006C79C0">
      <w:pPr>
        <w:jc w:val="both"/>
        <w:rPr>
          <w:lang w:val="en-US"/>
        </w:rPr>
      </w:pPr>
      <w:r w:rsidRPr="003A5073">
        <w:rPr>
          <w:lang w:val="en-US"/>
        </w:rPr>
        <w:t xml:space="preserve">Rel-15 NR introduces the concept of </w:t>
      </w:r>
      <w:r w:rsidRPr="003A5073">
        <w:rPr>
          <w:rFonts w:eastAsia="MS Mincho"/>
          <w:lang w:val="en-US" w:eastAsia="ja-JP"/>
        </w:rPr>
        <w:t xml:space="preserve">SSB based RRM measurement timing configuration (SMTC) </w:t>
      </w:r>
      <w:r w:rsidRPr="003A5073">
        <w:rPr>
          <w:lang w:val="en-US"/>
        </w:rPr>
        <w:t xml:space="preserve">for SSB-based measurements. The SMTC is a timing configuration where the UE is configured to perform SSB-based RRM measurements. The NR SMTC framework presents several similarities with the LAA Discovery Reference Signal (DRS) </w:t>
      </w:r>
      <w:r w:rsidRPr="003A5073">
        <w:rPr>
          <w:rFonts w:eastAsia="MS Mincho"/>
          <w:lang w:val="en-US" w:eastAsia="ja-JP"/>
        </w:rPr>
        <w:t>measurement timing configuration (</w:t>
      </w:r>
      <w:r w:rsidRPr="003A5073">
        <w:rPr>
          <w:lang w:val="en-US"/>
        </w:rPr>
        <w:t>DMTC) concept, which was introduced in Rel-13 LAA to handle the time unpredictability in the transmission of DRS for the purpose (among others) of performing RRM measurements in unlicensed spectrum.</w:t>
      </w:r>
    </w:p>
    <w:p w14:paraId="5C38885D" w14:textId="35F7D6A6" w:rsidR="0008045C" w:rsidRPr="003A5073" w:rsidRDefault="0008045C" w:rsidP="0008045C">
      <w:pPr>
        <w:jc w:val="both"/>
      </w:pPr>
      <w:r w:rsidRPr="003A5073">
        <w:rPr>
          <w:lang w:val="en-US"/>
        </w:rPr>
        <w:t xml:space="preserve">According to the agreements captured in [2] and the related discussions in RAN1, to overcome the negative effects of impending channel unavailability due to Listen-Before Talk (LBT), the NR-U DRS is transmitted within a window of opportunity, which we also refer to in this contribution as DRS transmission opportunity window. </w:t>
      </w:r>
    </w:p>
    <w:p w14:paraId="7FD44E3E" w14:textId="77777777" w:rsidR="0008045C" w:rsidRPr="003A5073" w:rsidRDefault="0008045C" w:rsidP="0008045C">
      <w:pPr>
        <w:ind w:left="567"/>
        <w:jc w:val="both"/>
        <w:rPr>
          <w:i/>
          <w:lang w:eastAsia="x-none"/>
        </w:rPr>
      </w:pPr>
      <w:r w:rsidRPr="003A5073">
        <w:rPr>
          <w:i/>
          <w:lang w:eastAsia="x-none"/>
        </w:rPr>
        <w:t xml:space="preserve">For UE measurements, it is assumed that recurring transmissions of SSB/PBCH and RMSI will be available with possibly reduced opportunities due to LBT. </w:t>
      </w:r>
    </w:p>
    <w:p w14:paraId="4DF6A02F" w14:textId="77777777" w:rsidR="0008045C" w:rsidRPr="003A5073" w:rsidRDefault="0008045C" w:rsidP="0008045C">
      <w:pPr>
        <w:ind w:left="567"/>
        <w:jc w:val="both"/>
        <w:rPr>
          <w:i/>
          <w:lang w:eastAsia="x-none"/>
        </w:rPr>
      </w:pPr>
      <w:r w:rsidRPr="003A5073">
        <w:rPr>
          <w:i/>
          <w:lang w:eastAsia="x-none"/>
        </w:rPr>
        <w:t>[…]</w:t>
      </w:r>
    </w:p>
    <w:p w14:paraId="3D7E20FD" w14:textId="5C6FF429" w:rsidR="006C79C0" w:rsidRPr="003A5073" w:rsidRDefault="0008045C" w:rsidP="0008045C">
      <w:pPr>
        <w:ind w:left="567"/>
        <w:jc w:val="both"/>
        <w:rPr>
          <w:i/>
          <w:lang w:eastAsia="x-none"/>
        </w:rPr>
      </w:pPr>
      <w:r w:rsidRPr="003A5073">
        <w:rPr>
          <w:i/>
          <w:lang w:val="en-US"/>
        </w:rPr>
        <w:t xml:space="preserve">For SS/PBCH block transmissions as part of DRS, it is considered beneficial to expand the maximum number of candidate SS/PBCH block positions within the DRS transmission window to Y, for e.g., Y ≤ 64, where the choice of Y may depend on the numerology of the SS/PBCH blocks. The transmitted SS/PBCH blocks do not overlap and the maximum number of transmitted SS/PBCH blocks is X within DRS transmission window with X ≤ 8. </w:t>
      </w:r>
      <w:r w:rsidRPr="003A5073">
        <w:rPr>
          <w:i/>
        </w:rPr>
        <w:t xml:space="preserve">The time-domain positions of the </w:t>
      </w:r>
      <w:proofErr w:type="gramStart"/>
      <w:r w:rsidRPr="003A5073">
        <w:rPr>
          <w:i/>
        </w:rPr>
        <w:t>actually transmitted</w:t>
      </w:r>
      <w:proofErr w:type="gramEnd"/>
      <w:r w:rsidRPr="003A5073">
        <w:rPr>
          <w:i/>
        </w:rPr>
        <w:t xml:space="preserve"> SS/PBCH blocks are selected from a set of Y candidate SS/PBCH block positions. Proposals for s</w:t>
      </w:r>
      <w:r w:rsidRPr="003A5073">
        <w:rPr>
          <w:rFonts w:eastAsia="Batang"/>
          <w:i/>
        </w:rPr>
        <w:t>hift granularity between candidate time domain SSB positions/candidate groups of SSBs, d</w:t>
      </w:r>
      <w:r w:rsidRPr="003A5073">
        <w:rPr>
          <w:i/>
        </w:rPr>
        <w:t>uration of DRS transmission window, and duration of the transmitted DRS within the window including SSBs and other multiplexed signals/channels, were discussed without reaching consensus, and can be considered further when specifications are developed.</w:t>
      </w:r>
    </w:p>
    <w:p w14:paraId="3B08AB00" w14:textId="77777777" w:rsidR="0008045C" w:rsidRPr="003A5073" w:rsidRDefault="0008045C" w:rsidP="00321192">
      <w:pPr>
        <w:pStyle w:val="Doc-text2"/>
        <w:spacing w:after="180"/>
        <w:ind w:left="0" w:firstLine="0"/>
        <w:jc w:val="both"/>
        <w:rPr>
          <w:rFonts w:ascii="Times New Roman" w:hAnsi="Times New Roman"/>
          <w:lang w:val="en-US"/>
        </w:rPr>
      </w:pPr>
      <w:r w:rsidRPr="003A5073">
        <w:rPr>
          <w:rFonts w:ascii="Times New Roman" w:hAnsi="Times New Roman"/>
          <w:lang w:val="en-US"/>
        </w:rPr>
        <w:lastRenderedPageBreak/>
        <w:t>During the NR-U study item phase, the relation between DRS transmission opportunity window and measurement timing configuration for RRM measurements has been discussed, and the following was concluded [2]</w:t>
      </w:r>
      <w:r w:rsidR="00994070" w:rsidRPr="003A5073">
        <w:rPr>
          <w:rFonts w:ascii="Times New Roman" w:hAnsi="Times New Roman"/>
          <w:lang w:val="en-US"/>
        </w:rPr>
        <w:t>.</w:t>
      </w:r>
    </w:p>
    <w:p w14:paraId="2C3AC05B" w14:textId="68F45090" w:rsidR="0008045C" w:rsidRPr="003A5073" w:rsidRDefault="0008045C" w:rsidP="0008045C">
      <w:pPr>
        <w:pStyle w:val="Doc-text2"/>
        <w:spacing w:after="180"/>
        <w:ind w:left="567" w:firstLine="0"/>
        <w:jc w:val="both"/>
        <w:rPr>
          <w:rFonts w:ascii="Times New Roman" w:hAnsi="Times New Roman"/>
          <w:i/>
          <w:lang w:val="en-US"/>
        </w:rPr>
      </w:pPr>
      <w:r w:rsidRPr="003A5073">
        <w:rPr>
          <w:rFonts w:ascii="Times New Roman" w:hAnsi="Times New Roman"/>
          <w:i/>
          <w:lang w:eastAsia="x-none"/>
        </w:rPr>
        <w:t xml:space="preserve">For RLM on an unlicensed </w:t>
      </w:r>
      <w:proofErr w:type="spellStart"/>
      <w:r w:rsidRPr="003A5073">
        <w:rPr>
          <w:rFonts w:ascii="Times New Roman" w:hAnsi="Times New Roman"/>
          <w:i/>
          <w:lang w:eastAsia="x-none"/>
        </w:rPr>
        <w:t>SpCell</w:t>
      </w:r>
      <w:proofErr w:type="spellEnd"/>
      <w:r w:rsidRPr="003A5073">
        <w:rPr>
          <w:rFonts w:ascii="Times New Roman" w:hAnsi="Times New Roman"/>
          <w:i/>
          <w:lang w:eastAsia="x-none"/>
        </w:rPr>
        <w:t xml:space="preserve"> and RRM, it is considered beneficial to configure DMTCs (DRS Measurement Time Configuration) in which UEs can perform measurements. It is considered beneficial that these time-domain measurement windows for RRM measurements and RLM can be different. RLM DMTC may coincide with DRS transmission window.</w:t>
      </w:r>
    </w:p>
    <w:p w14:paraId="43F427A4" w14:textId="1D8B19B7" w:rsidR="00B424EC" w:rsidRPr="003A5073" w:rsidRDefault="00C8111E" w:rsidP="00FB2597">
      <w:pPr>
        <w:spacing w:after="0"/>
        <w:jc w:val="both"/>
        <w:rPr>
          <w:rFonts w:cs="Arial"/>
          <w:lang w:val="en-US"/>
        </w:rPr>
      </w:pPr>
      <w:r w:rsidRPr="003A5073">
        <w:rPr>
          <w:rFonts w:cs="Arial"/>
          <w:lang w:val="en-US"/>
        </w:rPr>
        <w:t xml:space="preserve">In this paper we discuss the relation between DRS transmission opportunity window on a serving cell and SMTC for the corresponding carrier frequency. </w:t>
      </w:r>
    </w:p>
    <w:p w14:paraId="452847AD" w14:textId="30017582" w:rsidR="00AC1944" w:rsidRPr="003A5073" w:rsidRDefault="00AC1944" w:rsidP="00AC1944">
      <w:pPr>
        <w:pStyle w:val="Heading1"/>
        <w:rPr>
          <w:lang w:val="en-US"/>
        </w:rPr>
      </w:pPr>
      <w:r w:rsidRPr="003A5073">
        <w:rPr>
          <w:lang w:val="en-US"/>
        </w:rPr>
        <w:t>2</w:t>
      </w:r>
      <w:r w:rsidRPr="003A5073">
        <w:rPr>
          <w:lang w:val="en-US"/>
        </w:rPr>
        <w:tab/>
      </w:r>
      <w:r w:rsidR="00DC3388" w:rsidRPr="003A5073">
        <w:rPr>
          <w:lang w:val="en-US"/>
        </w:rPr>
        <w:t>Discussion</w:t>
      </w:r>
      <w:r w:rsidRPr="003A5073">
        <w:rPr>
          <w:lang w:val="en-US"/>
        </w:rPr>
        <w:t xml:space="preserve"> </w:t>
      </w:r>
    </w:p>
    <w:p w14:paraId="357B350D" w14:textId="750D9A83" w:rsidR="00C8111E" w:rsidRPr="003A5073" w:rsidRDefault="00C8111E" w:rsidP="00A55381">
      <w:pPr>
        <w:jc w:val="both"/>
        <w:rPr>
          <w:lang w:val="en-US"/>
        </w:rPr>
      </w:pPr>
      <w:r w:rsidRPr="003A5073">
        <w:rPr>
          <w:lang w:val="en-US"/>
        </w:rPr>
        <w:t xml:space="preserve">In this contribution we focus on the SMTC configuration for </w:t>
      </w:r>
      <w:r w:rsidR="00FA4638" w:rsidRPr="003A5073">
        <w:rPr>
          <w:lang w:val="en-US"/>
        </w:rPr>
        <w:t xml:space="preserve">intra-frequency </w:t>
      </w:r>
      <w:r w:rsidR="00680E00" w:rsidRPr="003A5073">
        <w:rPr>
          <w:lang w:val="en-US"/>
        </w:rPr>
        <w:t>measurement</w:t>
      </w:r>
      <w:r w:rsidR="00FA4638" w:rsidRPr="003A5073">
        <w:rPr>
          <w:lang w:val="en-US"/>
        </w:rPr>
        <w:t>s</w:t>
      </w:r>
      <w:r w:rsidRPr="003A5073">
        <w:rPr>
          <w:lang w:val="en-US"/>
        </w:rPr>
        <w:t xml:space="preserve">. </w:t>
      </w:r>
      <w:r w:rsidR="00FA4638" w:rsidRPr="003A5073">
        <w:rPr>
          <w:lang w:val="en-US"/>
        </w:rPr>
        <w:t xml:space="preserve">Measurement gaps for </w:t>
      </w:r>
      <w:r w:rsidR="00416E40" w:rsidRPr="003A5073">
        <w:rPr>
          <w:lang w:val="en-US"/>
        </w:rPr>
        <w:t xml:space="preserve">inter-frequency measurements in </w:t>
      </w:r>
      <w:r w:rsidR="00441FB8" w:rsidRPr="003A5073">
        <w:rPr>
          <w:lang w:val="en-US"/>
        </w:rPr>
        <w:t>asynchron</w:t>
      </w:r>
      <w:r w:rsidRPr="003A5073">
        <w:rPr>
          <w:lang w:val="en-US"/>
        </w:rPr>
        <w:t>ous</w:t>
      </w:r>
      <w:r w:rsidR="00441FB8" w:rsidRPr="003A5073">
        <w:rPr>
          <w:lang w:val="en-US"/>
        </w:rPr>
        <w:t xml:space="preserve"> </w:t>
      </w:r>
      <w:r w:rsidR="00FA4638" w:rsidRPr="003A5073">
        <w:rPr>
          <w:lang w:val="en-US"/>
        </w:rPr>
        <w:t xml:space="preserve">NR-U </w:t>
      </w:r>
      <w:r w:rsidR="00441FB8" w:rsidRPr="003A5073">
        <w:rPr>
          <w:lang w:val="en-US"/>
        </w:rPr>
        <w:t>deployments</w:t>
      </w:r>
      <w:r w:rsidR="00FA4638" w:rsidRPr="003A5073">
        <w:rPr>
          <w:lang w:val="en-US"/>
        </w:rPr>
        <w:t xml:space="preserve"> are </w:t>
      </w:r>
      <w:r w:rsidR="00441FB8" w:rsidRPr="003A5073">
        <w:rPr>
          <w:lang w:val="en-US"/>
        </w:rPr>
        <w:t>discussed in our companion contribution [</w:t>
      </w:r>
      <w:r w:rsidR="003A5073" w:rsidRPr="003A5073">
        <w:rPr>
          <w:lang w:val="en-US"/>
        </w:rPr>
        <w:t>3</w:t>
      </w:r>
      <w:r w:rsidR="00441FB8" w:rsidRPr="003A5073">
        <w:rPr>
          <w:lang w:val="en-US"/>
        </w:rPr>
        <w:t>]</w:t>
      </w:r>
      <w:r w:rsidR="00FA4638" w:rsidRPr="003A5073">
        <w:rPr>
          <w:lang w:val="en-US"/>
        </w:rPr>
        <w:t xml:space="preserve">. </w:t>
      </w:r>
    </w:p>
    <w:p w14:paraId="6F81B082" w14:textId="77777777" w:rsidR="009E4BEE" w:rsidRDefault="00C8111E" w:rsidP="00A55381">
      <w:pPr>
        <w:jc w:val="both"/>
        <w:rPr>
          <w:rFonts w:cs="Arial"/>
          <w:lang w:val="en-US"/>
        </w:rPr>
      </w:pPr>
      <w:r w:rsidRPr="003A5073">
        <w:rPr>
          <w:rFonts w:cs="Arial"/>
          <w:lang w:val="en-US"/>
        </w:rPr>
        <w:t xml:space="preserve">For intra-frequency measurements in </w:t>
      </w:r>
      <w:r w:rsidR="00416E40" w:rsidRPr="003A5073">
        <w:rPr>
          <w:rFonts w:cs="Arial"/>
          <w:lang w:val="en-US"/>
        </w:rPr>
        <w:t xml:space="preserve">CONNECTED </w:t>
      </w:r>
      <w:r w:rsidRPr="003A5073">
        <w:rPr>
          <w:rFonts w:cs="Arial"/>
          <w:lang w:val="en-US"/>
        </w:rPr>
        <w:t>mode, Rel</w:t>
      </w:r>
      <w:r w:rsidR="00C34D14" w:rsidRPr="003A5073">
        <w:rPr>
          <w:rFonts w:cs="Arial"/>
          <w:lang w:val="en-US"/>
        </w:rPr>
        <w:t>-</w:t>
      </w:r>
      <w:r w:rsidRPr="003A5073">
        <w:rPr>
          <w:rFonts w:cs="Arial"/>
          <w:lang w:val="en-US"/>
        </w:rPr>
        <w:t xml:space="preserve">15 NR supports </w:t>
      </w:r>
      <w:r w:rsidRPr="003A5073">
        <w:rPr>
          <w:lang w:val="en-US"/>
        </w:rPr>
        <w:t>up to 2 SMTCs. The</w:t>
      </w:r>
      <w:r w:rsidR="00416E40" w:rsidRPr="003A5073">
        <w:rPr>
          <w:lang w:val="en-US"/>
        </w:rPr>
        <w:t>se</w:t>
      </w:r>
      <w:r w:rsidRPr="003A5073">
        <w:rPr>
          <w:lang w:val="en-US"/>
        </w:rPr>
        <w:t xml:space="preserve"> </w:t>
      </w:r>
      <w:r w:rsidR="00416E40" w:rsidRPr="003A5073">
        <w:rPr>
          <w:lang w:val="en-US"/>
        </w:rPr>
        <w:t xml:space="preserve">2 </w:t>
      </w:r>
      <w:r w:rsidRPr="003A5073">
        <w:rPr>
          <w:lang w:val="en-US"/>
        </w:rPr>
        <w:t xml:space="preserve">SMTCs are configured in the measurement object. The secondary SMTC </w:t>
      </w:r>
      <w:r w:rsidR="009E4BEE">
        <w:rPr>
          <w:lang w:val="en-US"/>
        </w:rPr>
        <w:t xml:space="preserve">has </w:t>
      </w:r>
      <w:r w:rsidRPr="003A5073">
        <w:rPr>
          <w:lang w:val="en-US"/>
        </w:rPr>
        <w:t xml:space="preserve">the same offset and duration </w:t>
      </w:r>
      <w:r w:rsidR="009E4BEE">
        <w:rPr>
          <w:lang w:val="en-US"/>
        </w:rPr>
        <w:t xml:space="preserve">as </w:t>
      </w:r>
      <w:r w:rsidRPr="003A5073">
        <w:rPr>
          <w:lang w:val="en-US"/>
        </w:rPr>
        <w:t xml:space="preserve">the primary SMTC, and its periodicity can only be set to a value that is strictly shorter than the periodicity of the primary SMTC. Therefore, in </w:t>
      </w:r>
      <w:r w:rsidR="009E4BEE">
        <w:rPr>
          <w:lang w:val="en-US"/>
        </w:rPr>
        <w:t xml:space="preserve">Rel-15 </w:t>
      </w:r>
      <w:r w:rsidRPr="003A5073">
        <w:rPr>
          <w:lang w:val="en-US"/>
        </w:rPr>
        <w:t>NR, the primary SMTC is always overlapping with the secondary SM</w:t>
      </w:r>
      <w:r w:rsidR="00416E40" w:rsidRPr="003A5073">
        <w:rPr>
          <w:lang w:val="en-US"/>
        </w:rPr>
        <w:t>T</w:t>
      </w:r>
      <w:r w:rsidRPr="003A5073">
        <w:rPr>
          <w:lang w:val="en-US"/>
        </w:rPr>
        <w:t>C</w:t>
      </w:r>
      <w:r w:rsidR="009E4BEE">
        <w:rPr>
          <w:lang w:val="en-US"/>
        </w:rPr>
        <w:t xml:space="preserve">. </w:t>
      </w:r>
      <w:r w:rsidR="00416E40" w:rsidRPr="003A5073">
        <w:rPr>
          <w:lang w:val="en-US"/>
        </w:rPr>
        <w:t>For intra-frequency measurements in IDLE/INACTIVE mode, Rel</w:t>
      </w:r>
      <w:r w:rsidR="00C34D14" w:rsidRPr="003A5073">
        <w:rPr>
          <w:lang w:val="en-US"/>
        </w:rPr>
        <w:t>-</w:t>
      </w:r>
      <w:r w:rsidR="00416E40" w:rsidRPr="003A5073">
        <w:rPr>
          <w:lang w:val="en-US"/>
        </w:rPr>
        <w:t>15 NR only support one SMTC</w:t>
      </w:r>
      <w:r w:rsidR="009E4BEE">
        <w:rPr>
          <w:lang w:val="en-US"/>
        </w:rPr>
        <w:t xml:space="preserve">, </w:t>
      </w:r>
      <w:r w:rsidR="00416E40" w:rsidRPr="003A5073">
        <w:rPr>
          <w:lang w:val="en-US"/>
        </w:rPr>
        <w:t xml:space="preserve">which </w:t>
      </w:r>
      <w:r w:rsidR="009E4BEE">
        <w:rPr>
          <w:lang w:val="en-US"/>
        </w:rPr>
        <w:t xml:space="preserve">is </w:t>
      </w:r>
      <w:r w:rsidR="00416E40" w:rsidRPr="003A5073">
        <w:rPr>
          <w:lang w:val="en-US"/>
        </w:rPr>
        <w:t xml:space="preserve">signaled in SIB2. </w:t>
      </w:r>
      <w:r w:rsidR="00FB2597" w:rsidRPr="003A5073">
        <w:rPr>
          <w:lang w:val="en-US"/>
        </w:rPr>
        <w:t xml:space="preserve">The SMTC in Rel-15 NR </w:t>
      </w:r>
      <w:r w:rsidR="00FB2597" w:rsidRPr="003A5073">
        <w:rPr>
          <w:rFonts w:cs="Arial"/>
          <w:lang w:val="en-US"/>
        </w:rPr>
        <w:t xml:space="preserve">is used to perform RRM measurements on both serving and neighbor cells on a carrier frequency. </w:t>
      </w:r>
    </w:p>
    <w:p w14:paraId="5F73E998" w14:textId="44097CB8" w:rsidR="00FB2597" w:rsidRPr="009E4BEE" w:rsidRDefault="00FB2597" w:rsidP="00A55381">
      <w:pPr>
        <w:jc w:val="both"/>
        <w:rPr>
          <w:rFonts w:cs="Arial"/>
          <w:lang w:val="en-US"/>
        </w:rPr>
      </w:pPr>
      <w:r w:rsidRPr="003A5073">
        <w:rPr>
          <w:rFonts w:cs="Arial"/>
          <w:lang w:val="en-US"/>
        </w:rPr>
        <w:t>In NR-U, serving cell measurements</w:t>
      </w:r>
      <w:r w:rsidR="009E4BEE">
        <w:rPr>
          <w:rFonts w:cs="Arial"/>
          <w:lang w:val="en-US"/>
        </w:rPr>
        <w:t xml:space="preserve"> </w:t>
      </w:r>
      <w:r w:rsidRPr="003A5073">
        <w:rPr>
          <w:rFonts w:cs="Arial"/>
          <w:lang w:val="en-US"/>
        </w:rPr>
        <w:t xml:space="preserve">will obviously need to be performed during the DRS transmission opportunity window. Note that here the term “serving cell” </w:t>
      </w:r>
      <w:r w:rsidR="009E4BEE">
        <w:rPr>
          <w:rFonts w:cs="Arial"/>
          <w:lang w:val="en-US"/>
        </w:rPr>
        <w:t xml:space="preserve">here </w:t>
      </w:r>
      <w:r w:rsidRPr="003A5073">
        <w:rPr>
          <w:rFonts w:cs="Arial"/>
          <w:lang w:val="en-US"/>
        </w:rPr>
        <w:t xml:space="preserve">is also used to </w:t>
      </w:r>
      <w:r w:rsidR="009E4BEE">
        <w:rPr>
          <w:rFonts w:cs="Arial"/>
          <w:lang w:val="en-US"/>
        </w:rPr>
        <w:t xml:space="preserve">indicate </w:t>
      </w:r>
      <w:r w:rsidRPr="003A5073">
        <w:rPr>
          <w:rFonts w:cs="Arial"/>
          <w:lang w:val="en-US"/>
        </w:rPr>
        <w:t>the cell a</w:t>
      </w:r>
      <w:r w:rsidR="009E4BEE">
        <w:rPr>
          <w:rFonts w:cs="Arial"/>
          <w:lang w:val="en-US"/>
        </w:rPr>
        <w:t xml:space="preserve">n IDLE/INACTIVE </w:t>
      </w:r>
      <w:proofErr w:type="gramStart"/>
      <w:r w:rsidR="009E4BEE">
        <w:rPr>
          <w:rFonts w:cs="Arial"/>
          <w:lang w:val="en-US"/>
        </w:rPr>
        <w:t xml:space="preserve">mode </w:t>
      </w:r>
      <w:r w:rsidRPr="003A5073">
        <w:rPr>
          <w:rFonts w:cs="Arial"/>
          <w:lang w:val="en-US"/>
        </w:rPr>
        <w:t xml:space="preserve"> UE</w:t>
      </w:r>
      <w:proofErr w:type="gramEnd"/>
      <w:r w:rsidRPr="003A5073">
        <w:rPr>
          <w:rFonts w:cs="Arial"/>
          <w:lang w:val="en-US"/>
        </w:rPr>
        <w:t xml:space="preserve"> is camping on. </w:t>
      </w:r>
    </w:p>
    <w:p w14:paraId="648C0CE6" w14:textId="285E0964" w:rsidR="0014399F" w:rsidRPr="003A5073" w:rsidRDefault="00FB2597" w:rsidP="00A55381">
      <w:pPr>
        <w:jc w:val="both"/>
        <w:rPr>
          <w:rFonts w:cs="Arial"/>
          <w:lang w:val="en-US"/>
        </w:rPr>
      </w:pPr>
      <w:r w:rsidRPr="003A5073">
        <w:rPr>
          <w:lang w:val="en-US"/>
        </w:rPr>
        <w:t>Therefore, t</w:t>
      </w:r>
      <w:r w:rsidR="00DF4E0C" w:rsidRPr="003A5073">
        <w:rPr>
          <w:lang w:val="en-US"/>
        </w:rPr>
        <w:t xml:space="preserve">o evaluate </w:t>
      </w:r>
      <w:r w:rsidR="00074B9B" w:rsidRPr="003A5073">
        <w:rPr>
          <w:lang w:val="en-US"/>
        </w:rPr>
        <w:t xml:space="preserve">to what extent </w:t>
      </w:r>
      <w:r w:rsidR="00DF4E0C" w:rsidRPr="003A5073">
        <w:rPr>
          <w:lang w:val="en-US"/>
        </w:rPr>
        <w:t>the Rel-15 SMTC framework can be reused for NR-U</w:t>
      </w:r>
      <w:r w:rsidR="009E4BEE">
        <w:rPr>
          <w:lang w:val="en-US"/>
        </w:rPr>
        <w:t xml:space="preserve">, </w:t>
      </w:r>
      <w:r w:rsidR="00DF4E0C" w:rsidRPr="003A5073">
        <w:rPr>
          <w:lang w:val="en-US"/>
        </w:rPr>
        <w:t xml:space="preserve">and which modifications and/or extensions may be needed to support IDLE/INACTIVE and CONNECTED mode mobility in unlicensed spectrum, next </w:t>
      </w:r>
      <w:r w:rsidR="00416E40" w:rsidRPr="003A5073">
        <w:rPr>
          <w:lang w:val="en-US"/>
        </w:rPr>
        <w:t xml:space="preserve">we discuss </w:t>
      </w:r>
      <w:r w:rsidR="00DF4E0C" w:rsidRPr="003A5073">
        <w:rPr>
          <w:lang w:val="en-US"/>
        </w:rPr>
        <w:t xml:space="preserve">the relation between DRS transmission opportunity window and SMTC in </w:t>
      </w:r>
      <w:r w:rsidR="00074B9B" w:rsidRPr="003A5073">
        <w:rPr>
          <w:lang w:val="en-US"/>
        </w:rPr>
        <w:t xml:space="preserve">asynchronous and synchronous </w:t>
      </w:r>
      <w:r w:rsidR="00DF4E0C" w:rsidRPr="003A5073">
        <w:rPr>
          <w:lang w:val="en-US"/>
        </w:rPr>
        <w:t>deployment scenarios</w:t>
      </w:r>
      <w:r w:rsidR="00416E40" w:rsidRPr="003A5073">
        <w:rPr>
          <w:lang w:val="en-US"/>
        </w:rPr>
        <w:t xml:space="preserve">. </w:t>
      </w:r>
    </w:p>
    <w:p w14:paraId="68086B20" w14:textId="580BC402" w:rsidR="00994070" w:rsidRPr="003A5073" w:rsidRDefault="00416E40" w:rsidP="00A55381">
      <w:pPr>
        <w:pStyle w:val="Heading3"/>
        <w:jc w:val="both"/>
        <w:rPr>
          <w:lang w:val="en-US"/>
        </w:rPr>
      </w:pPr>
      <w:r w:rsidRPr="003A5073">
        <w:rPr>
          <w:lang w:val="en-US"/>
        </w:rPr>
        <w:t>2.1</w:t>
      </w:r>
      <w:r w:rsidRPr="003A5073">
        <w:rPr>
          <w:lang w:val="en-US"/>
        </w:rPr>
        <w:tab/>
      </w:r>
      <w:r w:rsidR="003E0718" w:rsidRPr="003A5073">
        <w:rPr>
          <w:lang w:val="en-US"/>
        </w:rPr>
        <w:t>Asynchron</w:t>
      </w:r>
      <w:r w:rsidRPr="003A5073">
        <w:rPr>
          <w:lang w:val="en-US"/>
        </w:rPr>
        <w:t xml:space="preserve">ous </w:t>
      </w:r>
      <w:r w:rsidR="00C34D14" w:rsidRPr="003A5073">
        <w:rPr>
          <w:lang w:val="en-US"/>
        </w:rPr>
        <w:t>neighbor cells</w:t>
      </w:r>
    </w:p>
    <w:p w14:paraId="601AF0CA" w14:textId="6DFD2539" w:rsidR="00B31949" w:rsidRPr="003A5073" w:rsidRDefault="000328CC" w:rsidP="00A55381">
      <w:pPr>
        <w:jc w:val="both"/>
        <w:rPr>
          <w:lang w:val="en-US"/>
        </w:rPr>
      </w:pPr>
      <w:r w:rsidRPr="003A5073">
        <w:rPr>
          <w:lang w:val="en-US"/>
        </w:rPr>
        <w:t xml:space="preserve">In </w:t>
      </w:r>
      <w:r w:rsidR="00416E40" w:rsidRPr="003A5073">
        <w:rPr>
          <w:lang w:val="en-US"/>
        </w:rPr>
        <w:t xml:space="preserve">a </w:t>
      </w:r>
      <w:r w:rsidRPr="003A5073">
        <w:rPr>
          <w:lang w:val="en-US"/>
        </w:rPr>
        <w:t xml:space="preserve">first case, </w:t>
      </w:r>
      <w:r w:rsidR="00416E40" w:rsidRPr="003A5073">
        <w:rPr>
          <w:lang w:val="en-US"/>
        </w:rPr>
        <w:t xml:space="preserve">asynchronous </w:t>
      </w:r>
      <w:r w:rsidRPr="003A5073">
        <w:rPr>
          <w:lang w:val="en-US"/>
        </w:rPr>
        <w:t>network deployment</w:t>
      </w:r>
      <w:r w:rsidR="0067779B" w:rsidRPr="003A5073">
        <w:rPr>
          <w:lang w:val="en-US"/>
        </w:rPr>
        <w:t>s</w:t>
      </w:r>
      <w:r w:rsidRPr="003A5073">
        <w:rPr>
          <w:lang w:val="en-US"/>
        </w:rPr>
        <w:t xml:space="preserve"> </w:t>
      </w:r>
      <w:r w:rsidR="00416E40" w:rsidRPr="003A5073">
        <w:rPr>
          <w:lang w:val="en-US"/>
        </w:rPr>
        <w:t xml:space="preserve">may </w:t>
      </w:r>
      <w:r w:rsidRPr="003A5073">
        <w:rPr>
          <w:lang w:val="en-US"/>
        </w:rPr>
        <w:t xml:space="preserve">mean </w:t>
      </w:r>
      <w:r w:rsidR="00416E40" w:rsidRPr="003A5073">
        <w:rPr>
          <w:lang w:val="en-US"/>
        </w:rPr>
        <w:t xml:space="preserve">that the </w:t>
      </w:r>
      <w:r w:rsidR="003E0718" w:rsidRPr="003A5073">
        <w:rPr>
          <w:lang w:val="en-US"/>
        </w:rPr>
        <w:t xml:space="preserve">serving cell </w:t>
      </w:r>
      <w:r w:rsidR="00416E40" w:rsidRPr="003A5073">
        <w:rPr>
          <w:lang w:val="en-US"/>
        </w:rPr>
        <w:t xml:space="preserve">(for CONNECTED mode) or the cell the UE is camping on (for IDLE/INACTIVE mode) </w:t>
      </w:r>
      <w:r w:rsidR="003E0718" w:rsidRPr="003A5073">
        <w:rPr>
          <w:lang w:val="en-US"/>
        </w:rPr>
        <w:t xml:space="preserve">has no idea of the timing of the DRS transmission </w:t>
      </w:r>
      <w:r w:rsidR="0067779B" w:rsidRPr="003A5073">
        <w:rPr>
          <w:lang w:val="en-US"/>
        </w:rPr>
        <w:t xml:space="preserve">opportunity </w:t>
      </w:r>
      <w:r w:rsidR="003E0718" w:rsidRPr="003A5073">
        <w:rPr>
          <w:lang w:val="en-US"/>
        </w:rPr>
        <w:t xml:space="preserve">window of </w:t>
      </w:r>
      <w:r w:rsidR="007E3027" w:rsidRPr="003A5073">
        <w:rPr>
          <w:lang w:val="en-US"/>
        </w:rPr>
        <w:t>neighbor</w:t>
      </w:r>
      <w:r w:rsidR="003E0718" w:rsidRPr="003A5073">
        <w:rPr>
          <w:lang w:val="en-US"/>
        </w:rPr>
        <w:t xml:space="preserve"> cells. In this</w:t>
      </w:r>
      <w:r w:rsidR="007E3027" w:rsidRPr="003A5073">
        <w:rPr>
          <w:lang w:val="en-US"/>
        </w:rPr>
        <w:t xml:space="preserve"> </w:t>
      </w:r>
      <w:r w:rsidR="0067779B" w:rsidRPr="003A5073">
        <w:rPr>
          <w:lang w:val="en-US"/>
        </w:rPr>
        <w:t>case</w:t>
      </w:r>
      <w:r w:rsidR="003E1FFF" w:rsidRPr="003A5073">
        <w:rPr>
          <w:lang w:val="en-US"/>
        </w:rPr>
        <w:t xml:space="preserve">, </w:t>
      </w:r>
      <w:r w:rsidR="003E0718" w:rsidRPr="003A5073">
        <w:rPr>
          <w:lang w:val="en-US"/>
        </w:rPr>
        <w:t xml:space="preserve">it may be difficult to configure </w:t>
      </w:r>
      <w:r w:rsidR="00416E40" w:rsidRPr="003A5073">
        <w:rPr>
          <w:lang w:val="en-US"/>
        </w:rPr>
        <w:t>a</w:t>
      </w:r>
      <w:r w:rsidR="0067779B" w:rsidRPr="003A5073">
        <w:rPr>
          <w:lang w:val="en-US"/>
        </w:rPr>
        <w:t xml:space="preserve">n </w:t>
      </w:r>
      <w:r w:rsidR="00416E40" w:rsidRPr="003A5073">
        <w:rPr>
          <w:lang w:val="en-US"/>
        </w:rPr>
        <w:t>exact timing configuration (</w:t>
      </w:r>
      <w:r w:rsidR="003E0718" w:rsidRPr="003A5073">
        <w:rPr>
          <w:lang w:val="en-US"/>
        </w:rPr>
        <w:t>SMTC</w:t>
      </w:r>
      <w:r w:rsidR="00416E40" w:rsidRPr="003A5073">
        <w:rPr>
          <w:lang w:val="en-US"/>
        </w:rPr>
        <w:t xml:space="preserve">) </w:t>
      </w:r>
      <w:r w:rsidR="003E0718" w:rsidRPr="003A5073">
        <w:rPr>
          <w:lang w:val="en-US"/>
        </w:rPr>
        <w:t xml:space="preserve">for </w:t>
      </w:r>
      <w:r w:rsidR="00416E40" w:rsidRPr="003A5073">
        <w:rPr>
          <w:lang w:val="en-US"/>
        </w:rPr>
        <w:t xml:space="preserve">intra-frequency </w:t>
      </w:r>
      <w:r w:rsidR="003E0718" w:rsidRPr="003A5073">
        <w:rPr>
          <w:lang w:val="en-US"/>
        </w:rPr>
        <w:t>neighbor cell measurements.</w:t>
      </w:r>
      <w:r w:rsidR="0067779B" w:rsidRPr="003A5073">
        <w:rPr>
          <w:lang w:val="en-US"/>
        </w:rPr>
        <w:t xml:space="preserve"> </w:t>
      </w:r>
      <w:r w:rsidRPr="003A5073">
        <w:rPr>
          <w:lang w:val="en-US"/>
        </w:rPr>
        <w:t>T</w:t>
      </w:r>
      <w:r w:rsidR="003E1FFF" w:rsidRPr="003A5073">
        <w:rPr>
          <w:lang w:val="en-US"/>
        </w:rPr>
        <w:t xml:space="preserve">he UE could simply </w:t>
      </w:r>
      <w:r w:rsidR="009E4BEE">
        <w:rPr>
          <w:lang w:val="en-US"/>
        </w:rPr>
        <w:t xml:space="preserve">be </w:t>
      </w:r>
      <w:r w:rsidR="003E1FFF" w:rsidRPr="003A5073">
        <w:rPr>
          <w:lang w:val="en-US"/>
        </w:rPr>
        <w:t xml:space="preserve">indicated </w:t>
      </w:r>
      <w:r w:rsidR="00416E40" w:rsidRPr="003A5073">
        <w:rPr>
          <w:lang w:val="en-US"/>
        </w:rPr>
        <w:t xml:space="preserve">that </w:t>
      </w:r>
      <w:r w:rsidR="000468E7" w:rsidRPr="003A5073">
        <w:rPr>
          <w:lang w:val="en-US"/>
        </w:rPr>
        <w:t xml:space="preserve">there </w:t>
      </w:r>
      <w:r w:rsidR="003E1FFF" w:rsidRPr="003A5073">
        <w:rPr>
          <w:lang w:val="en-US"/>
        </w:rPr>
        <w:t xml:space="preserve">are </w:t>
      </w:r>
      <w:r w:rsidR="009E4BEE">
        <w:rPr>
          <w:lang w:val="en-US"/>
        </w:rPr>
        <w:t xml:space="preserve">asynchronous </w:t>
      </w:r>
      <w:r w:rsidR="003E1FFF" w:rsidRPr="003A5073">
        <w:rPr>
          <w:lang w:val="en-US"/>
        </w:rPr>
        <w:t>neighbor cell</w:t>
      </w:r>
      <w:r w:rsidR="00C34D14" w:rsidRPr="003A5073">
        <w:rPr>
          <w:lang w:val="en-US"/>
        </w:rPr>
        <w:t>s</w:t>
      </w:r>
      <w:r w:rsidR="003E1FFF" w:rsidRPr="003A5073">
        <w:rPr>
          <w:lang w:val="en-US"/>
        </w:rPr>
        <w:t xml:space="preserve"> on the corresponding carrier frequency. </w:t>
      </w:r>
      <w:r w:rsidR="001F601E" w:rsidRPr="003A5073">
        <w:rPr>
          <w:lang w:val="en-US"/>
        </w:rPr>
        <w:t xml:space="preserve">The UE will then perform measurements </w:t>
      </w:r>
      <w:r w:rsidR="00416E40" w:rsidRPr="003A5073">
        <w:rPr>
          <w:lang w:val="en-US"/>
        </w:rPr>
        <w:t>with</w:t>
      </w:r>
      <w:r w:rsidR="00F30286" w:rsidRPr="003A5073">
        <w:rPr>
          <w:lang w:val="en-US"/>
        </w:rPr>
        <w:t xml:space="preserve"> an “undefined” measurement </w:t>
      </w:r>
      <w:r w:rsidR="001F601E" w:rsidRPr="003A5073">
        <w:rPr>
          <w:lang w:val="en-US"/>
        </w:rPr>
        <w:t xml:space="preserve">timing </w:t>
      </w:r>
      <w:r w:rsidR="00416E40" w:rsidRPr="003A5073">
        <w:rPr>
          <w:lang w:val="en-US"/>
        </w:rPr>
        <w:t>configuration</w:t>
      </w:r>
      <w:r w:rsidR="001F601E" w:rsidRPr="003A5073">
        <w:rPr>
          <w:lang w:val="en-US"/>
        </w:rPr>
        <w:t xml:space="preserve">. </w:t>
      </w:r>
      <w:r w:rsidR="00B31949" w:rsidRPr="003A5073">
        <w:rPr>
          <w:lang w:val="en-US"/>
        </w:rPr>
        <w:t xml:space="preserve">This could be </w:t>
      </w:r>
      <w:r w:rsidR="00C34D14" w:rsidRPr="003A5073">
        <w:rPr>
          <w:lang w:val="en-US"/>
        </w:rPr>
        <w:t xml:space="preserve">implemented </w:t>
      </w:r>
      <w:r w:rsidR="00B31949" w:rsidRPr="003A5073">
        <w:rPr>
          <w:lang w:val="en-US"/>
        </w:rPr>
        <w:t>e.g.</w:t>
      </w:r>
      <w:r w:rsidR="00C34D14" w:rsidRPr="003A5073">
        <w:rPr>
          <w:lang w:val="en-US"/>
        </w:rPr>
        <w:t>:</w:t>
      </w:r>
      <w:r w:rsidR="00B31949" w:rsidRPr="003A5073">
        <w:rPr>
          <w:lang w:val="en-US"/>
        </w:rPr>
        <w:t xml:space="preserve"> </w:t>
      </w:r>
    </w:p>
    <w:p w14:paraId="39BB58A9" w14:textId="5DBE9651" w:rsidR="00B31949" w:rsidRPr="003A5073" w:rsidRDefault="00B31949" w:rsidP="00A55381">
      <w:pPr>
        <w:pStyle w:val="ListParagraph"/>
        <w:numPr>
          <w:ilvl w:val="0"/>
          <w:numId w:val="11"/>
        </w:numPr>
        <w:ind w:left="714" w:hanging="357"/>
        <w:contextualSpacing w:val="0"/>
        <w:jc w:val="both"/>
        <w:rPr>
          <w:lang w:val="en-US"/>
        </w:rPr>
      </w:pPr>
      <w:r w:rsidRPr="003A5073">
        <w:rPr>
          <w:lang w:val="en-US"/>
        </w:rPr>
        <w:t xml:space="preserve">For IDLE/INACTIVE mode, by either configuring both the duration and the periodicity of the SMTC signaled in SIB2 to </w:t>
      </w:r>
      <w:r w:rsidR="009E4BEE">
        <w:rPr>
          <w:lang w:val="en-US"/>
        </w:rPr>
        <w:t xml:space="preserve">the same value (e.g. </w:t>
      </w:r>
      <w:r w:rsidRPr="003A5073">
        <w:rPr>
          <w:lang w:val="en-US"/>
        </w:rPr>
        <w:t xml:space="preserve">5 </w:t>
      </w:r>
      <w:proofErr w:type="spellStart"/>
      <w:r w:rsidRPr="003A5073">
        <w:rPr>
          <w:lang w:val="en-US"/>
        </w:rPr>
        <w:t>ms</w:t>
      </w:r>
      <w:proofErr w:type="spellEnd"/>
      <w:r w:rsidR="009E4BEE">
        <w:rPr>
          <w:lang w:val="en-US"/>
        </w:rPr>
        <w:t>)</w:t>
      </w:r>
      <w:r w:rsidRPr="003A5073">
        <w:rPr>
          <w:lang w:val="en-US"/>
        </w:rPr>
        <w:t xml:space="preserve">, or by omitting the SMTC in SIB2 </w:t>
      </w:r>
    </w:p>
    <w:p w14:paraId="1A5D7316" w14:textId="341F43E7" w:rsidR="00B31949" w:rsidRPr="003A5073" w:rsidRDefault="00B31949" w:rsidP="00A55381">
      <w:pPr>
        <w:pStyle w:val="ListParagraph"/>
        <w:numPr>
          <w:ilvl w:val="0"/>
          <w:numId w:val="11"/>
        </w:numPr>
        <w:jc w:val="both"/>
        <w:rPr>
          <w:lang w:val="en-US"/>
        </w:rPr>
      </w:pPr>
      <w:r w:rsidRPr="003A5073">
        <w:rPr>
          <w:lang w:val="en-US"/>
        </w:rPr>
        <w:t xml:space="preserve">For CONNECTED mode, </w:t>
      </w:r>
      <w:r w:rsidR="00621CEE" w:rsidRPr="003A5073">
        <w:rPr>
          <w:lang w:val="en-US"/>
        </w:rPr>
        <w:t xml:space="preserve">by configuring </w:t>
      </w:r>
      <w:r w:rsidRPr="003A5073">
        <w:rPr>
          <w:lang w:val="en-US"/>
        </w:rPr>
        <w:t xml:space="preserve">both the duration and the periodicity of </w:t>
      </w:r>
      <w:r w:rsidR="00F30286" w:rsidRPr="003A5073">
        <w:rPr>
          <w:lang w:val="en-US"/>
        </w:rPr>
        <w:t xml:space="preserve">the </w:t>
      </w:r>
      <w:r w:rsidRPr="003A5073">
        <w:rPr>
          <w:lang w:val="en-US"/>
        </w:rPr>
        <w:t xml:space="preserve">SMTC </w:t>
      </w:r>
      <w:r w:rsidR="00F30286" w:rsidRPr="003A5073">
        <w:rPr>
          <w:lang w:val="en-US"/>
        </w:rPr>
        <w:t xml:space="preserve">signaled in the measurement object configuration </w:t>
      </w:r>
      <w:r w:rsidRPr="003A5073">
        <w:rPr>
          <w:lang w:val="en-US"/>
        </w:rPr>
        <w:t xml:space="preserve">to </w:t>
      </w:r>
      <w:r w:rsidR="009E4BEE">
        <w:rPr>
          <w:lang w:val="en-US"/>
        </w:rPr>
        <w:t xml:space="preserve">the same value (e.g. </w:t>
      </w:r>
      <w:r w:rsidRPr="003A5073">
        <w:rPr>
          <w:lang w:val="en-US"/>
        </w:rPr>
        <w:t xml:space="preserve">5 </w:t>
      </w:r>
      <w:proofErr w:type="spellStart"/>
      <w:r w:rsidRPr="003A5073">
        <w:rPr>
          <w:lang w:val="en-US"/>
        </w:rPr>
        <w:t>ms</w:t>
      </w:r>
      <w:proofErr w:type="spellEnd"/>
      <w:r w:rsidR="009E4BEE">
        <w:rPr>
          <w:lang w:val="en-US"/>
        </w:rPr>
        <w:t>)</w:t>
      </w:r>
    </w:p>
    <w:p w14:paraId="676B842A" w14:textId="20121790" w:rsidR="00B31949" w:rsidRPr="003A5073" w:rsidRDefault="00F30286" w:rsidP="00A55381">
      <w:pPr>
        <w:jc w:val="both"/>
        <w:rPr>
          <w:lang w:val="en-US"/>
        </w:rPr>
      </w:pPr>
      <w:r w:rsidRPr="003A5073">
        <w:rPr>
          <w:lang w:val="en-US"/>
        </w:rPr>
        <w:t xml:space="preserve">This approach </w:t>
      </w:r>
      <w:r w:rsidR="00B31949" w:rsidRPr="003A5073">
        <w:rPr>
          <w:lang w:val="en-US"/>
        </w:rPr>
        <w:t>seems reasonable</w:t>
      </w:r>
      <w:r w:rsidR="0067779B" w:rsidRPr="003A5073">
        <w:rPr>
          <w:lang w:val="en-US"/>
        </w:rPr>
        <w:t xml:space="preserve">, at least </w:t>
      </w:r>
      <w:r w:rsidR="00621CEE" w:rsidRPr="003A5073">
        <w:rPr>
          <w:lang w:val="en-US"/>
        </w:rPr>
        <w:t xml:space="preserve">for </w:t>
      </w:r>
      <w:r w:rsidR="000468E7" w:rsidRPr="003A5073">
        <w:rPr>
          <w:lang w:val="en-US"/>
        </w:rPr>
        <w:t>IDLE/INACTIVE mode</w:t>
      </w:r>
      <w:r w:rsidR="001F601E" w:rsidRPr="003A5073">
        <w:rPr>
          <w:lang w:val="en-US"/>
        </w:rPr>
        <w:t xml:space="preserve">. </w:t>
      </w:r>
      <w:r w:rsidR="00B31949" w:rsidRPr="003A5073">
        <w:rPr>
          <w:lang w:val="en-US"/>
        </w:rPr>
        <w:t xml:space="preserve">On the other hand, to perform measurements on the cell the UE is camping on, it may </w:t>
      </w:r>
      <w:r w:rsidR="00EA3CDE">
        <w:rPr>
          <w:lang w:val="en-US"/>
        </w:rPr>
        <w:t xml:space="preserve">also </w:t>
      </w:r>
      <w:r w:rsidR="0067779B" w:rsidRPr="003A5073">
        <w:rPr>
          <w:lang w:val="en-US"/>
        </w:rPr>
        <w:t xml:space="preserve">be </w:t>
      </w:r>
      <w:r w:rsidR="00B31949" w:rsidRPr="003A5073">
        <w:rPr>
          <w:lang w:val="en-US"/>
        </w:rPr>
        <w:t>beneficial to signal to the UE the DRS transmission opportunity</w:t>
      </w:r>
      <w:r w:rsidR="0067779B" w:rsidRPr="003A5073">
        <w:rPr>
          <w:lang w:val="en-US"/>
        </w:rPr>
        <w:t xml:space="preserve"> window of the corresponding cell</w:t>
      </w:r>
      <w:r w:rsidR="00B31949" w:rsidRPr="003A5073">
        <w:rPr>
          <w:lang w:val="en-US"/>
        </w:rPr>
        <w:t xml:space="preserve">. </w:t>
      </w:r>
      <w:r w:rsidRPr="003A5073">
        <w:rPr>
          <w:lang w:val="en-US"/>
        </w:rPr>
        <w:t>Therefore</w:t>
      </w:r>
      <w:r w:rsidR="003527D5" w:rsidRPr="003A5073">
        <w:rPr>
          <w:lang w:val="en-US"/>
        </w:rPr>
        <w:t xml:space="preserve">, </w:t>
      </w:r>
      <w:r w:rsidRPr="003A5073">
        <w:rPr>
          <w:lang w:val="en-US"/>
        </w:rPr>
        <w:t xml:space="preserve">we propose: </w:t>
      </w:r>
    </w:p>
    <w:p w14:paraId="2C2E82A0" w14:textId="1E1700EE" w:rsidR="00B31949" w:rsidRPr="003A5073" w:rsidRDefault="00621CEE" w:rsidP="00A55381">
      <w:pPr>
        <w:jc w:val="both"/>
        <w:rPr>
          <w:b/>
          <w:lang w:val="en-US"/>
        </w:rPr>
      </w:pPr>
      <w:r w:rsidRPr="003A5073">
        <w:rPr>
          <w:b/>
          <w:lang w:val="en-US"/>
        </w:rPr>
        <w:t>Proposal</w:t>
      </w:r>
      <w:r w:rsidR="00F30286" w:rsidRPr="003A5073">
        <w:rPr>
          <w:b/>
          <w:lang w:val="en-US"/>
        </w:rPr>
        <w:t xml:space="preserve"> 1</w:t>
      </w:r>
      <w:r w:rsidR="00B31949" w:rsidRPr="003A5073">
        <w:rPr>
          <w:b/>
          <w:lang w:val="en-US"/>
        </w:rPr>
        <w:t xml:space="preserve">: </w:t>
      </w:r>
      <w:r w:rsidR="00AE3704" w:rsidRPr="003A5073">
        <w:rPr>
          <w:b/>
          <w:lang w:val="en-US"/>
        </w:rPr>
        <w:t>t</w:t>
      </w:r>
      <w:r w:rsidR="00F30286" w:rsidRPr="003A5073">
        <w:rPr>
          <w:b/>
          <w:lang w:val="en-US"/>
        </w:rPr>
        <w:t xml:space="preserve">he </w:t>
      </w:r>
      <w:r w:rsidR="00B31949" w:rsidRPr="003A5073">
        <w:rPr>
          <w:b/>
          <w:lang w:val="en-US"/>
        </w:rPr>
        <w:t xml:space="preserve">DRS transmission opportunity </w:t>
      </w:r>
      <w:r w:rsidR="00EA3CDE" w:rsidRPr="003A5073">
        <w:rPr>
          <w:b/>
          <w:lang w:val="en-US"/>
        </w:rPr>
        <w:t xml:space="preserve">window </w:t>
      </w:r>
      <w:r w:rsidR="00F30286" w:rsidRPr="003A5073">
        <w:rPr>
          <w:b/>
          <w:lang w:val="en-US"/>
        </w:rPr>
        <w:t xml:space="preserve">on a cell and the </w:t>
      </w:r>
      <w:r w:rsidR="00B31949" w:rsidRPr="003A5073">
        <w:rPr>
          <w:b/>
          <w:lang w:val="en-US"/>
        </w:rPr>
        <w:t xml:space="preserve">SMTC for intra-frequency measurements </w:t>
      </w:r>
      <w:r w:rsidR="00F30286" w:rsidRPr="003A5073">
        <w:rPr>
          <w:b/>
          <w:lang w:val="en-US"/>
        </w:rPr>
        <w:t xml:space="preserve">in IDLE/INACTIVE mode are configured </w:t>
      </w:r>
      <w:r w:rsidR="00B31949" w:rsidRPr="003A5073">
        <w:rPr>
          <w:b/>
          <w:lang w:val="en-US"/>
        </w:rPr>
        <w:t>separately</w:t>
      </w:r>
      <w:r w:rsidR="00E64F79" w:rsidRPr="003A5073">
        <w:rPr>
          <w:b/>
          <w:lang w:val="en-US"/>
        </w:rPr>
        <w:t xml:space="preserve"> in the System Information</w:t>
      </w:r>
      <w:r w:rsidR="00B31949" w:rsidRPr="003A5073">
        <w:rPr>
          <w:b/>
          <w:lang w:val="en-US"/>
        </w:rPr>
        <w:t xml:space="preserve">. </w:t>
      </w:r>
    </w:p>
    <w:p w14:paraId="6591243E" w14:textId="48C6683A" w:rsidR="00FD1019" w:rsidRPr="003A5073" w:rsidRDefault="00CE5C16" w:rsidP="00A55381">
      <w:pPr>
        <w:jc w:val="both"/>
        <w:rPr>
          <w:lang w:val="en-US"/>
        </w:rPr>
      </w:pPr>
      <w:r w:rsidRPr="003A5073">
        <w:rPr>
          <w:lang w:val="en-US"/>
        </w:rPr>
        <w:t>I</w:t>
      </w:r>
      <w:r w:rsidR="001F601E" w:rsidRPr="003A5073">
        <w:rPr>
          <w:lang w:val="en-US"/>
        </w:rPr>
        <w:t xml:space="preserve">n </w:t>
      </w:r>
      <w:r w:rsidR="00F30286" w:rsidRPr="003A5073">
        <w:rPr>
          <w:lang w:val="en-US"/>
        </w:rPr>
        <w:t xml:space="preserve">CONNECTED </w:t>
      </w:r>
      <w:r w:rsidR="001F601E" w:rsidRPr="003A5073">
        <w:rPr>
          <w:lang w:val="en-US"/>
        </w:rPr>
        <w:t xml:space="preserve">mode, the UE implementation flexibility </w:t>
      </w:r>
      <w:r w:rsidR="0067779B" w:rsidRPr="003A5073">
        <w:rPr>
          <w:lang w:val="en-US"/>
        </w:rPr>
        <w:t xml:space="preserve">to perform measurements </w:t>
      </w:r>
      <w:r w:rsidR="00B31949" w:rsidRPr="003A5073">
        <w:rPr>
          <w:lang w:val="en-US"/>
        </w:rPr>
        <w:t xml:space="preserve">by configuring </w:t>
      </w:r>
      <w:r w:rsidRPr="003A5073">
        <w:rPr>
          <w:lang w:val="en-US"/>
        </w:rPr>
        <w:t xml:space="preserve">both the </w:t>
      </w:r>
      <w:r w:rsidR="00FD1019" w:rsidRPr="003A5073">
        <w:rPr>
          <w:lang w:val="en-US"/>
        </w:rPr>
        <w:t xml:space="preserve">duration and </w:t>
      </w:r>
      <w:r w:rsidR="00621CEE" w:rsidRPr="003A5073">
        <w:rPr>
          <w:lang w:val="en-US"/>
        </w:rPr>
        <w:t xml:space="preserve">the </w:t>
      </w:r>
      <w:r w:rsidR="00FD1019" w:rsidRPr="003A5073">
        <w:rPr>
          <w:lang w:val="en-US"/>
        </w:rPr>
        <w:t xml:space="preserve">periodicity of the SMTC to </w:t>
      </w:r>
      <w:r w:rsidR="00EA3CDE">
        <w:rPr>
          <w:lang w:val="en-US"/>
        </w:rPr>
        <w:t xml:space="preserve">the same value </w:t>
      </w:r>
      <w:r w:rsidR="001F601E" w:rsidRPr="003A5073">
        <w:rPr>
          <w:lang w:val="en-US"/>
        </w:rPr>
        <w:t xml:space="preserve">is </w:t>
      </w:r>
      <w:r w:rsidR="000328CC" w:rsidRPr="003A5073">
        <w:rPr>
          <w:lang w:val="en-US"/>
        </w:rPr>
        <w:t xml:space="preserve">somehow </w:t>
      </w:r>
      <w:r w:rsidR="001F601E" w:rsidRPr="003A5073">
        <w:rPr>
          <w:lang w:val="en-US"/>
        </w:rPr>
        <w:t>reduced</w:t>
      </w:r>
      <w:r w:rsidRPr="003A5073">
        <w:rPr>
          <w:lang w:val="en-US"/>
        </w:rPr>
        <w:t xml:space="preserve">, </w:t>
      </w:r>
      <w:r w:rsidR="001F601E" w:rsidRPr="003A5073">
        <w:rPr>
          <w:lang w:val="en-US"/>
        </w:rPr>
        <w:t xml:space="preserve">as the UE </w:t>
      </w:r>
      <w:r w:rsidRPr="003A5073">
        <w:rPr>
          <w:lang w:val="en-US"/>
        </w:rPr>
        <w:t xml:space="preserve">in practice </w:t>
      </w:r>
      <w:r w:rsidR="001F601E" w:rsidRPr="003A5073">
        <w:rPr>
          <w:lang w:val="en-US"/>
        </w:rPr>
        <w:t>cannot perform measurements when transmitting in UL [</w:t>
      </w:r>
      <w:r w:rsidR="003A5073" w:rsidRPr="003A5073">
        <w:rPr>
          <w:lang w:val="en-US"/>
        </w:rPr>
        <w:t>4</w:t>
      </w:r>
      <w:r w:rsidR="001F601E" w:rsidRPr="003A5073">
        <w:rPr>
          <w:lang w:val="en-US"/>
        </w:rPr>
        <w:t xml:space="preserve">]. </w:t>
      </w:r>
      <w:r w:rsidR="00CF4DB5" w:rsidRPr="003A5073">
        <w:rPr>
          <w:lang w:val="en-US"/>
        </w:rPr>
        <w:t xml:space="preserve">This may complicate the specification of the </w:t>
      </w:r>
      <w:r w:rsidR="0067779B" w:rsidRPr="003A5073">
        <w:rPr>
          <w:lang w:val="en-US"/>
        </w:rPr>
        <w:t xml:space="preserve">intra-frequency </w:t>
      </w:r>
      <w:r w:rsidR="00FD1019" w:rsidRPr="003A5073">
        <w:rPr>
          <w:lang w:val="en-US"/>
        </w:rPr>
        <w:t>performance requirement</w:t>
      </w:r>
      <w:r w:rsidR="00CF4DB5" w:rsidRPr="003A5073">
        <w:rPr>
          <w:lang w:val="en-US"/>
        </w:rPr>
        <w:t>s</w:t>
      </w:r>
      <w:r w:rsidR="00FD1019" w:rsidRPr="003A5073">
        <w:rPr>
          <w:lang w:val="en-US"/>
        </w:rPr>
        <w:t xml:space="preserve"> in RAN4</w:t>
      </w:r>
      <w:r w:rsidR="001F601E" w:rsidRPr="003A5073">
        <w:rPr>
          <w:lang w:val="en-US"/>
        </w:rPr>
        <w:t xml:space="preserve">. </w:t>
      </w:r>
    </w:p>
    <w:p w14:paraId="0E34EE36" w14:textId="7E9958C0" w:rsidR="00F30286" w:rsidRPr="003A5073" w:rsidRDefault="00F30286" w:rsidP="00A55381">
      <w:pPr>
        <w:jc w:val="both"/>
        <w:rPr>
          <w:lang w:val="en-US"/>
        </w:rPr>
      </w:pPr>
      <w:r w:rsidRPr="003A5073">
        <w:rPr>
          <w:lang w:val="en-US"/>
        </w:rPr>
        <w:t>I</w:t>
      </w:r>
      <w:r w:rsidR="00FD1019" w:rsidRPr="003A5073">
        <w:rPr>
          <w:lang w:val="en-US"/>
        </w:rPr>
        <w:t>n case the UE</w:t>
      </w:r>
      <w:r w:rsidR="00CE5C16" w:rsidRPr="003A5073">
        <w:rPr>
          <w:lang w:val="en-US"/>
        </w:rPr>
        <w:t xml:space="preserve">, to perform measurements on </w:t>
      </w:r>
      <w:r w:rsidR="0067779B" w:rsidRPr="003A5073">
        <w:rPr>
          <w:lang w:val="en-US"/>
        </w:rPr>
        <w:t xml:space="preserve">asynchronous </w:t>
      </w:r>
      <w:r w:rsidR="00CE5C16" w:rsidRPr="003A5073">
        <w:rPr>
          <w:lang w:val="en-US"/>
        </w:rPr>
        <w:t xml:space="preserve">intra-frequency neighbor cells, </w:t>
      </w:r>
      <w:r w:rsidR="00FD1019" w:rsidRPr="003A5073">
        <w:rPr>
          <w:lang w:val="en-US"/>
        </w:rPr>
        <w:t xml:space="preserve">needs to be configured </w:t>
      </w:r>
      <w:r w:rsidR="00CE5C16" w:rsidRPr="003A5073">
        <w:rPr>
          <w:lang w:val="en-US"/>
        </w:rPr>
        <w:t xml:space="preserve">a SMTC with duration smaller than the periodicity, such </w:t>
      </w:r>
      <w:r w:rsidR="00FD1019" w:rsidRPr="003A5073">
        <w:rPr>
          <w:lang w:val="en-US"/>
        </w:rPr>
        <w:t xml:space="preserve">SMTC may </w:t>
      </w:r>
      <w:r w:rsidRPr="003A5073">
        <w:rPr>
          <w:lang w:val="en-US"/>
        </w:rPr>
        <w:t xml:space="preserve">need to have </w:t>
      </w:r>
      <w:r w:rsidR="00FD1019" w:rsidRPr="003A5073">
        <w:rPr>
          <w:lang w:val="en-US"/>
        </w:rPr>
        <w:t xml:space="preserve">similar </w:t>
      </w:r>
      <w:r w:rsidRPr="003A5073">
        <w:rPr>
          <w:lang w:val="en-US"/>
        </w:rPr>
        <w:t xml:space="preserve">properties </w:t>
      </w:r>
      <w:r w:rsidR="00FD1019" w:rsidRPr="003A5073">
        <w:rPr>
          <w:lang w:val="en-US"/>
        </w:rPr>
        <w:t xml:space="preserve">as the measurement gap configuration for performing </w:t>
      </w:r>
      <w:r w:rsidR="00441FB8" w:rsidRPr="003A5073">
        <w:rPr>
          <w:lang w:val="en-US"/>
        </w:rPr>
        <w:t xml:space="preserve">inter-frequency measurement on </w:t>
      </w:r>
      <w:r w:rsidR="003527D5" w:rsidRPr="003A5073">
        <w:rPr>
          <w:lang w:val="en-US"/>
        </w:rPr>
        <w:t>asynchronous</w:t>
      </w:r>
      <w:r w:rsidR="00FD1019" w:rsidRPr="003A5073">
        <w:rPr>
          <w:lang w:val="en-US"/>
        </w:rPr>
        <w:t xml:space="preserve"> </w:t>
      </w:r>
      <w:r w:rsidR="00441FB8" w:rsidRPr="003A5073">
        <w:rPr>
          <w:lang w:val="en-US"/>
        </w:rPr>
        <w:t>neighbor cells</w:t>
      </w:r>
      <w:r w:rsidR="00FD1019" w:rsidRPr="003A5073">
        <w:rPr>
          <w:lang w:val="en-US"/>
        </w:rPr>
        <w:t xml:space="preserve">, as </w:t>
      </w:r>
      <w:r w:rsidRPr="003A5073">
        <w:rPr>
          <w:lang w:val="en-US"/>
        </w:rPr>
        <w:t xml:space="preserve">we </w:t>
      </w:r>
      <w:r w:rsidR="00FD1019" w:rsidRPr="003A5073">
        <w:rPr>
          <w:lang w:val="en-US"/>
        </w:rPr>
        <w:t xml:space="preserve">discuss in </w:t>
      </w:r>
      <w:r w:rsidR="00CE5C16" w:rsidRPr="003A5073">
        <w:rPr>
          <w:lang w:val="en-US"/>
        </w:rPr>
        <w:t xml:space="preserve">our </w:t>
      </w:r>
      <w:r w:rsidR="00CE5C16" w:rsidRPr="003A5073">
        <w:rPr>
          <w:lang w:val="en-US"/>
        </w:rPr>
        <w:lastRenderedPageBreak/>
        <w:t xml:space="preserve">companion contribution </w:t>
      </w:r>
      <w:r w:rsidR="00441FB8" w:rsidRPr="003A5073">
        <w:rPr>
          <w:lang w:val="en-US"/>
        </w:rPr>
        <w:t>[</w:t>
      </w:r>
      <w:r w:rsidR="003A5073" w:rsidRPr="003A5073">
        <w:rPr>
          <w:lang w:val="en-US"/>
        </w:rPr>
        <w:t>3</w:t>
      </w:r>
      <w:r w:rsidR="00441FB8" w:rsidRPr="003A5073">
        <w:rPr>
          <w:lang w:val="en-US"/>
        </w:rPr>
        <w:t>].</w:t>
      </w:r>
      <w:r w:rsidRPr="003A5073">
        <w:rPr>
          <w:lang w:val="en-US"/>
        </w:rPr>
        <w:t xml:space="preserve"> I</w:t>
      </w:r>
      <w:r w:rsidR="00FD1019" w:rsidRPr="003A5073">
        <w:rPr>
          <w:lang w:val="en-US"/>
        </w:rPr>
        <w:t xml:space="preserve">n this case, </w:t>
      </w:r>
      <w:r w:rsidR="00441FB8" w:rsidRPr="003A5073">
        <w:rPr>
          <w:lang w:val="en-US"/>
        </w:rPr>
        <w:t xml:space="preserve">it </w:t>
      </w:r>
      <w:r w:rsidR="00FD1019" w:rsidRPr="003A5073">
        <w:rPr>
          <w:lang w:val="en-US"/>
        </w:rPr>
        <w:t xml:space="preserve">seems </w:t>
      </w:r>
      <w:r w:rsidR="00441FB8" w:rsidRPr="003A5073">
        <w:rPr>
          <w:lang w:val="en-US"/>
        </w:rPr>
        <w:t xml:space="preserve">necessary to allow non-overlapping DRS transmission </w:t>
      </w:r>
      <w:r w:rsidR="0067779B" w:rsidRPr="003A5073">
        <w:rPr>
          <w:lang w:val="en-US"/>
        </w:rPr>
        <w:t xml:space="preserve">opportunity </w:t>
      </w:r>
      <w:r w:rsidR="00441FB8" w:rsidRPr="003A5073">
        <w:rPr>
          <w:lang w:val="en-US"/>
        </w:rPr>
        <w:t xml:space="preserve">window on </w:t>
      </w:r>
      <w:r w:rsidR="00DA20C6" w:rsidRPr="003A5073">
        <w:rPr>
          <w:lang w:val="en-US"/>
        </w:rPr>
        <w:t xml:space="preserve">a </w:t>
      </w:r>
      <w:r w:rsidR="00441FB8" w:rsidRPr="003A5073">
        <w:rPr>
          <w:lang w:val="en-US"/>
        </w:rPr>
        <w:t xml:space="preserve">cell and SMTC on </w:t>
      </w:r>
      <w:r w:rsidR="00DA20C6" w:rsidRPr="003A5073">
        <w:rPr>
          <w:lang w:val="en-US"/>
        </w:rPr>
        <w:t xml:space="preserve">the corresponding </w:t>
      </w:r>
      <w:r w:rsidR="00441FB8" w:rsidRPr="003A5073">
        <w:rPr>
          <w:lang w:val="en-US"/>
        </w:rPr>
        <w:t>a carrier frequency.</w:t>
      </w:r>
    </w:p>
    <w:p w14:paraId="7E0EC1C8" w14:textId="6A1DDAD3" w:rsidR="003E1FFF" w:rsidRPr="003A5073" w:rsidRDefault="00441FB8" w:rsidP="00A55381">
      <w:pPr>
        <w:jc w:val="both"/>
        <w:rPr>
          <w:lang w:val="en-US"/>
        </w:rPr>
      </w:pPr>
      <w:r w:rsidRPr="003A5073">
        <w:rPr>
          <w:lang w:val="en-US"/>
        </w:rPr>
        <w:t xml:space="preserve">In </w:t>
      </w:r>
      <w:r w:rsidR="00F30286" w:rsidRPr="003A5073">
        <w:rPr>
          <w:lang w:val="en-US"/>
        </w:rPr>
        <w:t xml:space="preserve">a </w:t>
      </w:r>
      <w:r w:rsidR="00CE5C16" w:rsidRPr="003A5073">
        <w:rPr>
          <w:lang w:val="en-US"/>
        </w:rPr>
        <w:t xml:space="preserve">different </w:t>
      </w:r>
      <w:r w:rsidR="00F30286" w:rsidRPr="003A5073">
        <w:rPr>
          <w:lang w:val="en-US"/>
        </w:rPr>
        <w:t>c</w:t>
      </w:r>
      <w:r w:rsidRPr="003A5073">
        <w:rPr>
          <w:lang w:val="en-US"/>
        </w:rPr>
        <w:t xml:space="preserve">ase, </w:t>
      </w:r>
      <w:r w:rsidR="00CF4DB5" w:rsidRPr="003A5073">
        <w:rPr>
          <w:lang w:val="en-US"/>
        </w:rPr>
        <w:t xml:space="preserve">asynchronous </w:t>
      </w:r>
      <w:r w:rsidRPr="003A5073">
        <w:rPr>
          <w:lang w:val="en-US"/>
        </w:rPr>
        <w:t xml:space="preserve">network deployments could mean that </w:t>
      </w:r>
      <w:r w:rsidR="001B2175" w:rsidRPr="003A5073">
        <w:rPr>
          <w:lang w:val="en-US"/>
        </w:rPr>
        <w:t xml:space="preserve">the serving cell </w:t>
      </w:r>
      <w:r w:rsidR="003E1FFF" w:rsidRPr="003A5073">
        <w:rPr>
          <w:lang w:val="en-US"/>
        </w:rPr>
        <w:t xml:space="preserve">knows the timing of </w:t>
      </w:r>
      <w:r w:rsidR="001B2175" w:rsidRPr="003A5073">
        <w:rPr>
          <w:lang w:val="en-US"/>
        </w:rPr>
        <w:t xml:space="preserve">neighbor </w:t>
      </w:r>
      <w:r w:rsidR="003E1FFF" w:rsidRPr="003A5073">
        <w:rPr>
          <w:lang w:val="en-US"/>
        </w:rPr>
        <w:t xml:space="preserve">cells, but </w:t>
      </w:r>
      <w:r w:rsidR="001B2175" w:rsidRPr="003A5073">
        <w:rPr>
          <w:lang w:val="en-US"/>
        </w:rPr>
        <w:t xml:space="preserve">the </w:t>
      </w:r>
      <w:r w:rsidR="003E1FFF" w:rsidRPr="003A5073">
        <w:rPr>
          <w:lang w:val="en-US"/>
        </w:rPr>
        <w:t>DRS transmission window</w:t>
      </w:r>
      <w:r w:rsidR="001B2175" w:rsidRPr="003A5073">
        <w:rPr>
          <w:lang w:val="en-US"/>
        </w:rPr>
        <w:t>s</w:t>
      </w:r>
      <w:r w:rsidR="003E1FFF" w:rsidRPr="003A5073">
        <w:rPr>
          <w:lang w:val="en-US"/>
        </w:rPr>
        <w:t xml:space="preserve"> </w:t>
      </w:r>
      <w:r w:rsidR="001B2175" w:rsidRPr="003A5073">
        <w:rPr>
          <w:lang w:val="en-US"/>
        </w:rPr>
        <w:t>of neighbor cells are overlapping neither among themselves</w:t>
      </w:r>
      <w:r w:rsidR="00511B39" w:rsidRPr="003A5073">
        <w:rPr>
          <w:lang w:val="en-US"/>
        </w:rPr>
        <w:t xml:space="preserve">, </w:t>
      </w:r>
      <w:r w:rsidR="001B2175" w:rsidRPr="003A5073">
        <w:rPr>
          <w:lang w:val="en-US"/>
        </w:rPr>
        <w:t xml:space="preserve">nor </w:t>
      </w:r>
      <w:r w:rsidR="003E1FFF" w:rsidRPr="003A5073">
        <w:rPr>
          <w:lang w:val="en-US"/>
        </w:rPr>
        <w:t xml:space="preserve">with </w:t>
      </w:r>
      <w:r w:rsidR="001B2175" w:rsidRPr="003A5073">
        <w:rPr>
          <w:lang w:val="en-US"/>
        </w:rPr>
        <w:t xml:space="preserve">the </w:t>
      </w:r>
      <w:r w:rsidR="003E1FFF" w:rsidRPr="003A5073">
        <w:rPr>
          <w:lang w:val="en-US"/>
        </w:rPr>
        <w:t>DRS transmission window of</w:t>
      </w:r>
      <w:r w:rsidR="001B2175" w:rsidRPr="003A5073">
        <w:rPr>
          <w:lang w:val="en-US"/>
        </w:rPr>
        <w:t xml:space="preserve"> the serving cell</w:t>
      </w:r>
      <w:r w:rsidR="003E1FFF" w:rsidRPr="003A5073">
        <w:rPr>
          <w:lang w:val="en-US"/>
        </w:rPr>
        <w:t xml:space="preserve">. </w:t>
      </w:r>
      <w:r w:rsidR="00511B39" w:rsidRPr="003A5073">
        <w:rPr>
          <w:lang w:val="en-US"/>
        </w:rPr>
        <w:t>I</w:t>
      </w:r>
      <w:r w:rsidRPr="003A5073">
        <w:rPr>
          <w:lang w:val="en-US"/>
        </w:rPr>
        <w:t xml:space="preserve">n this case, it may be beneficial to allow non-overlapping DRS transmission </w:t>
      </w:r>
      <w:r w:rsidR="00EA3CDE">
        <w:rPr>
          <w:lang w:val="en-US"/>
        </w:rPr>
        <w:t xml:space="preserve">opportunity </w:t>
      </w:r>
      <w:r w:rsidRPr="003A5073">
        <w:rPr>
          <w:lang w:val="en-US"/>
        </w:rPr>
        <w:t>window on a cell and SMTC on the corresponding carrier frequency</w:t>
      </w:r>
      <w:r w:rsidR="00511B39" w:rsidRPr="003A5073">
        <w:rPr>
          <w:lang w:val="en-US"/>
        </w:rPr>
        <w:t>, for both IDLE/INACTIVE and CONNECTED mode</w:t>
      </w:r>
      <w:r w:rsidR="003E1FFF" w:rsidRPr="003A5073">
        <w:rPr>
          <w:lang w:val="en-US"/>
        </w:rPr>
        <w:t>.</w:t>
      </w:r>
      <w:r w:rsidRPr="003A5073">
        <w:rPr>
          <w:lang w:val="en-US"/>
        </w:rPr>
        <w:t xml:space="preserve"> </w:t>
      </w:r>
      <w:r w:rsidR="00511B39" w:rsidRPr="003A5073">
        <w:rPr>
          <w:lang w:val="en-US"/>
        </w:rPr>
        <w:t xml:space="preserve">However, whether </w:t>
      </w:r>
      <w:r w:rsidRPr="003A5073">
        <w:rPr>
          <w:lang w:val="en-US"/>
        </w:rPr>
        <w:t>this</w:t>
      </w:r>
      <w:r w:rsidR="00511B39" w:rsidRPr="003A5073">
        <w:rPr>
          <w:lang w:val="en-US"/>
        </w:rPr>
        <w:t xml:space="preserve"> </w:t>
      </w:r>
      <w:r w:rsidRPr="003A5073">
        <w:rPr>
          <w:lang w:val="en-US"/>
        </w:rPr>
        <w:t>case is relevant may need further discussions in RAN2, as knowing the timing of neighbor cell</w:t>
      </w:r>
      <w:r w:rsidR="00511B39" w:rsidRPr="003A5073">
        <w:rPr>
          <w:lang w:val="en-US"/>
        </w:rPr>
        <w:t>s</w:t>
      </w:r>
      <w:r w:rsidRPr="003A5073">
        <w:rPr>
          <w:lang w:val="en-US"/>
        </w:rPr>
        <w:t xml:space="preserve"> </w:t>
      </w:r>
      <w:r w:rsidR="00511B39" w:rsidRPr="003A5073">
        <w:rPr>
          <w:lang w:val="en-US"/>
        </w:rPr>
        <w:t xml:space="preserve">may </w:t>
      </w:r>
      <w:r w:rsidRPr="003A5073">
        <w:rPr>
          <w:lang w:val="en-US"/>
        </w:rPr>
        <w:t xml:space="preserve">allow some level of </w:t>
      </w:r>
      <w:r w:rsidR="00511B39" w:rsidRPr="003A5073">
        <w:rPr>
          <w:lang w:val="en-US"/>
        </w:rPr>
        <w:t xml:space="preserve">network </w:t>
      </w:r>
      <w:r w:rsidRPr="003A5073">
        <w:rPr>
          <w:lang w:val="en-US"/>
        </w:rPr>
        <w:t>synchronization.</w:t>
      </w:r>
    </w:p>
    <w:p w14:paraId="57ABEAA2" w14:textId="683321FA" w:rsidR="00E64F79" w:rsidRPr="003A5073" w:rsidRDefault="00E64F79" w:rsidP="00A55381">
      <w:pPr>
        <w:pStyle w:val="Heading3"/>
        <w:jc w:val="both"/>
        <w:rPr>
          <w:lang w:val="en-US"/>
        </w:rPr>
      </w:pPr>
      <w:r w:rsidRPr="003A5073">
        <w:rPr>
          <w:lang w:val="en-US"/>
        </w:rPr>
        <w:t>2.2</w:t>
      </w:r>
      <w:r w:rsidRPr="003A5073">
        <w:rPr>
          <w:lang w:val="en-US"/>
        </w:rPr>
        <w:tab/>
        <w:t>Synchronous neighbor cells</w:t>
      </w:r>
    </w:p>
    <w:p w14:paraId="6C4A09B7" w14:textId="42A8A602" w:rsidR="003E1FFF" w:rsidRPr="003A5073" w:rsidRDefault="003E1FFF" w:rsidP="00A55381">
      <w:pPr>
        <w:jc w:val="both"/>
        <w:rPr>
          <w:lang w:val="en-US"/>
        </w:rPr>
      </w:pPr>
      <w:r w:rsidRPr="003A5073">
        <w:rPr>
          <w:lang w:val="en-US"/>
        </w:rPr>
        <w:t xml:space="preserve">In case </w:t>
      </w:r>
      <w:r w:rsidR="00DA20C6" w:rsidRPr="003A5073">
        <w:rPr>
          <w:lang w:val="en-US"/>
        </w:rPr>
        <w:t xml:space="preserve">of </w:t>
      </w:r>
      <w:r w:rsidR="00E64F79" w:rsidRPr="003A5073">
        <w:rPr>
          <w:lang w:val="en-US"/>
        </w:rPr>
        <w:t xml:space="preserve">synchronous </w:t>
      </w:r>
      <w:r w:rsidR="000A17EC" w:rsidRPr="003A5073">
        <w:rPr>
          <w:lang w:val="en-US"/>
        </w:rPr>
        <w:t xml:space="preserve">network deployments, </w:t>
      </w:r>
      <w:r w:rsidRPr="003A5073">
        <w:rPr>
          <w:lang w:val="en-US"/>
        </w:rPr>
        <w:t xml:space="preserve">it </w:t>
      </w:r>
      <w:r w:rsidR="0014399F" w:rsidRPr="003A5073">
        <w:rPr>
          <w:lang w:val="en-US"/>
        </w:rPr>
        <w:t xml:space="preserve">could be assumed that </w:t>
      </w:r>
      <w:r w:rsidRPr="003A5073">
        <w:rPr>
          <w:lang w:val="en-US"/>
        </w:rPr>
        <w:t xml:space="preserve">the DRS transmission </w:t>
      </w:r>
      <w:r w:rsidR="00E64F79" w:rsidRPr="003A5073">
        <w:rPr>
          <w:lang w:val="en-US"/>
        </w:rPr>
        <w:t xml:space="preserve">opportunity </w:t>
      </w:r>
      <w:r w:rsidRPr="003A5073">
        <w:rPr>
          <w:lang w:val="en-US"/>
        </w:rPr>
        <w:t xml:space="preserve">window </w:t>
      </w:r>
      <w:r w:rsidR="0014399F" w:rsidRPr="003A5073">
        <w:rPr>
          <w:lang w:val="en-US"/>
        </w:rPr>
        <w:t xml:space="preserve">across neighbor cells is </w:t>
      </w:r>
      <w:r w:rsidR="000A17EC" w:rsidRPr="003A5073">
        <w:rPr>
          <w:lang w:val="en-US"/>
        </w:rPr>
        <w:t xml:space="preserve">always perfectly </w:t>
      </w:r>
      <w:r w:rsidR="0014399F" w:rsidRPr="003A5073">
        <w:rPr>
          <w:lang w:val="en-US"/>
        </w:rPr>
        <w:t>overlapping. In this case</w:t>
      </w:r>
      <w:r w:rsidR="000A17EC" w:rsidRPr="003A5073">
        <w:rPr>
          <w:lang w:val="en-US"/>
        </w:rPr>
        <w:t xml:space="preserve">, </w:t>
      </w:r>
      <w:r w:rsidR="0014399F" w:rsidRPr="003A5073">
        <w:rPr>
          <w:lang w:val="en-US"/>
        </w:rPr>
        <w:t xml:space="preserve">it may not be required to have </w:t>
      </w:r>
      <w:r w:rsidR="000A17EC" w:rsidRPr="003A5073">
        <w:rPr>
          <w:lang w:val="en-US"/>
        </w:rPr>
        <w:t xml:space="preserve">the </w:t>
      </w:r>
      <w:r w:rsidR="0014399F" w:rsidRPr="003A5073">
        <w:rPr>
          <w:lang w:val="en-US"/>
        </w:rPr>
        <w:t xml:space="preserve">DRS transmission window </w:t>
      </w:r>
      <w:r w:rsidR="00E64F79" w:rsidRPr="003A5073">
        <w:rPr>
          <w:lang w:val="en-US"/>
        </w:rPr>
        <w:t xml:space="preserve">of a serving cell </w:t>
      </w:r>
      <w:r w:rsidR="0014399F" w:rsidRPr="003A5073">
        <w:rPr>
          <w:lang w:val="en-US"/>
        </w:rPr>
        <w:t xml:space="preserve">and </w:t>
      </w:r>
      <w:r w:rsidR="000A17EC" w:rsidRPr="003A5073">
        <w:rPr>
          <w:lang w:val="en-US"/>
        </w:rPr>
        <w:t xml:space="preserve">the </w:t>
      </w:r>
      <w:r w:rsidR="0014399F" w:rsidRPr="003A5073">
        <w:rPr>
          <w:lang w:val="en-US"/>
        </w:rPr>
        <w:t xml:space="preserve">SMTC </w:t>
      </w:r>
      <w:r w:rsidR="000A17EC" w:rsidRPr="003A5073">
        <w:rPr>
          <w:lang w:val="en-US"/>
        </w:rPr>
        <w:t xml:space="preserve">of the corresponding carrier frequency to </w:t>
      </w:r>
      <w:r w:rsidR="0014399F" w:rsidRPr="003A5073">
        <w:rPr>
          <w:lang w:val="en-US"/>
        </w:rPr>
        <w:t xml:space="preserve">be separately configured. </w:t>
      </w:r>
    </w:p>
    <w:p w14:paraId="2F86B6CA" w14:textId="1660C192" w:rsidR="00CE5C16" w:rsidRPr="003A5073" w:rsidRDefault="00CE5C16" w:rsidP="00A55381">
      <w:pPr>
        <w:jc w:val="both"/>
        <w:rPr>
          <w:lang w:val="en-US"/>
        </w:rPr>
      </w:pPr>
      <w:r w:rsidRPr="003A5073">
        <w:rPr>
          <w:b/>
          <w:i/>
          <w:lang w:val="en-US"/>
        </w:rPr>
        <w:t xml:space="preserve">Observation </w:t>
      </w:r>
      <w:r w:rsidR="00207C76" w:rsidRPr="003A5073">
        <w:rPr>
          <w:b/>
          <w:i/>
          <w:lang w:val="en-US"/>
        </w:rPr>
        <w:t>1</w:t>
      </w:r>
      <w:r w:rsidRPr="003A5073">
        <w:rPr>
          <w:b/>
          <w:i/>
          <w:lang w:val="en-US"/>
        </w:rPr>
        <w:t xml:space="preserve">: for synchronous network deployments, </w:t>
      </w:r>
      <w:r w:rsidR="00FE771B" w:rsidRPr="003A5073">
        <w:rPr>
          <w:b/>
          <w:i/>
          <w:lang w:val="en-US"/>
        </w:rPr>
        <w:t xml:space="preserve">the </w:t>
      </w:r>
      <w:r w:rsidRPr="003A5073">
        <w:rPr>
          <w:b/>
          <w:i/>
          <w:lang w:val="en-US"/>
        </w:rPr>
        <w:t xml:space="preserve">DRS transmission opportunity window </w:t>
      </w:r>
      <w:r w:rsidR="00FE771B" w:rsidRPr="003A5073">
        <w:rPr>
          <w:b/>
          <w:i/>
          <w:lang w:val="en-US"/>
        </w:rPr>
        <w:t xml:space="preserve">on a cell and the </w:t>
      </w:r>
      <w:r w:rsidRPr="003A5073">
        <w:rPr>
          <w:b/>
          <w:i/>
          <w:lang w:val="en-US"/>
        </w:rPr>
        <w:t xml:space="preserve">SMTC </w:t>
      </w:r>
      <w:r w:rsidR="00FE771B" w:rsidRPr="003A5073">
        <w:rPr>
          <w:b/>
          <w:i/>
          <w:lang w:val="en-US"/>
        </w:rPr>
        <w:t>on the corresponding carrier frequency can be assumed to be the same</w:t>
      </w:r>
      <w:r w:rsidR="00EA3CDE">
        <w:rPr>
          <w:b/>
          <w:i/>
          <w:lang w:val="en-US"/>
        </w:rPr>
        <w:t>.</w:t>
      </w:r>
      <w:r w:rsidR="00FE771B" w:rsidRPr="003A5073">
        <w:rPr>
          <w:b/>
          <w:i/>
          <w:lang w:val="en-US"/>
        </w:rPr>
        <w:t xml:space="preserve"> </w:t>
      </w:r>
    </w:p>
    <w:p w14:paraId="06228919" w14:textId="0FE4CE4B" w:rsidR="007E3027" w:rsidRPr="003A5073" w:rsidRDefault="002A263C" w:rsidP="00A55381">
      <w:pPr>
        <w:jc w:val="both"/>
        <w:rPr>
          <w:lang w:val="en-US"/>
        </w:rPr>
      </w:pPr>
      <w:r w:rsidRPr="003A5073">
        <w:rPr>
          <w:lang w:val="en-US"/>
        </w:rPr>
        <w:t xml:space="preserve">Also, there could </w:t>
      </w:r>
      <w:r w:rsidR="0014399F" w:rsidRPr="003A5073">
        <w:rPr>
          <w:lang w:val="en-US"/>
        </w:rPr>
        <w:t xml:space="preserve">be slightly </w:t>
      </w:r>
      <w:r w:rsidR="00E64F79" w:rsidRPr="003A5073">
        <w:rPr>
          <w:lang w:val="en-US"/>
        </w:rPr>
        <w:t xml:space="preserve">synchronous </w:t>
      </w:r>
      <w:r w:rsidR="0014399F" w:rsidRPr="003A5073">
        <w:rPr>
          <w:lang w:val="en-US"/>
        </w:rPr>
        <w:t xml:space="preserve">network deployments where neighbor cells are </w:t>
      </w:r>
      <w:r w:rsidRPr="003A5073">
        <w:rPr>
          <w:lang w:val="en-US"/>
        </w:rPr>
        <w:t xml:space="preserve">synchronous, </w:t>
      </w:r>
      <w:r w:rsidR="0014399F" w:rsidRPr="003A5073">
        <w:rPr>
          <w:lang w:val="en-US"/>
        </w:rPr>
        <w:t xml:space="preserve">but </w:t>
      </w:r>
      <w:r w:rsidR="007E3027" w:rsidRPr="003A5073">
        <w:rPr>
          <w:lang w:val="en-US"/>
        </w:rPr>
        <w:t xml:space="preserve">the </w:t>
      </w:r>
      <w:r w:rsidR="0014399F" w:rsidRPr="003A5073">
        <w:rPr>
          <w:lang w:val="en-US"/>
        </w:rPr>
        <w:t xml:space="preserve">synchronization accuracy </w:t>
      </w:r>
      <w:r w:rsidR="007E3027" w:rsidRPr="003A5073">
        <w:rPr>
          <w:lang w:val="en-US"/>
        </w:rPr>
        <w:t>is loose, e.g. in the order of one or several slots. In this case</w:t>
      </w:r>
      <w:r w:rsidR="006A58CF" w:rsidRPr="003A5073">
        <w:rPr>
          <w:lang w:val="en-US"/>
        </w:rPr>
        <w:t xml:space="preserve">, </w:t>
      </w:r>
      <w:r w:rsidR="007E3027" w:rsidRPr="003A5073">
        <w:rPr>
          <w:lang w:val="en-US"/>
        </w:rPr>
        <w:t xml:space="preserve">it may be </w:t>
      </w:r>
      <w:r w:rsidR="00EA3CDE">
        <w:rPr>
          <w:lang w:val="en-US"/>
        </w:rPr>
        <w:t xml:space="preserve">beneficial </w:t>
      </w:r>
      <w:r w:rsidR="007E3027" w:rsidRPr="003A5073">
        <w:rPr>
          <w:lang w:val="en-US"/>
        </w:rPr>
        <w:t xml:space="preserve">to configure </w:t>
      </w:r>
      <w:r w:rsidR="006A58CF" w:rsidRPr="003A5073">
        <w:rPr>
          <w:lang w:val="en-US"/>
        </w:rPr>
        <w:t xml:space="preserve">the SMTC </w:t>
      </w:r>
      <w:r w:rsidR="007E3027" w:rsidRPr="003A5073">
        <w:rPr>
          <w:lang w:val="en-US"/>
        </w:rPr>
        <w:t xml:space="preserve">with </w:t>
      </w:r>
      <w:r w:rsidR="00E64F79" w:rsidRPr="003A5073">
        <w:rPr>
          <w:lang w:val="en-US"/>
        </w:rPr>
        <w:t xml:space="preserve">a </w:t>
      </w:r>
      <w:r w:rsidR="007E3027" w:rsidRPr="003A5073">
        <w:rPr>
          <w:lang w:val="en-US"/>
        </w:rPr>
        <w:t xml:space="preserve">slightly longer duration </w:t>
      </w:r>
      <w:r w:rsidR="00EA3CDE">
        <w:rPr>
          <w:lang w:val="en-US"/>
        </w:rPr>
        <w:t xml:space="preserve">as compared to </w:t>
      </w:r>
      <w:r w:rsidR="007E3027" w:rsidRPr="003A5073">
        <w:rPr>
          <w:lang w:val="en-US"/>
        </w:rPr>
        <w:t xml:space="preserve">the </w:t>
      </w:r>
      <w:r w:rsidR="00E64F79" w:rsidRPr="003A5073">
        <w:rPr>
          <w:lang w:val="en-US"/>
        </w:rPr>
        <w:t xml:space="preserve">duration of the </w:t>
      </w:r>
      <w:r w:rsidR="007E3027" w:rsidRPr="003A5073">
        <w:rPr>
          <w:lang w:val="en-US"/>
        </w:rPr>
        <w:t xml:space="preserve">DRS transmission </w:t>
      </w:r>
      <w:r w:rsidR="00E64F79" w:rsidRPr="003A5073">
        <w:rPr>
          <w:lang w:val="en-US"/>
        </w:rPr>
        <w:t xml:space="preserve">opportunity </w:t>
      </w:r>
      <w:r w:rsidR="007E3027" w:rsidRPr="003A5073">
        <w:rPr>
          <w:lang w:val="en-US"/>
        </w:rPr>
        <w:t>window</w:t>
      </w:r>
      <w:r w:rsidR="006A58CF" w:rsidRPr="003A5073">
        <w:rPr>
          <w:lang w:val="en-US"/>
        </w:rPr>
        <w:t xml:space="preserve">, while the DRS transmission </w:t>
      </w:r>
      <w:r w:rsidR="00E64F79" w:rsidRPr="003A5073">
        <w:rPr>
          <w:lang w:val="en-US"/>
        </w:rPr>
        <w:t xml:space="preserve">opportunity </w:t>
      </w:r>
      <w:r w:rsidR="006A58CF" w:rsidRPr="003A5073">
        <w:rPr>
          <w:lang w:val="en-US"/>
        </w:rPr>
        <w:t>window could still be overlapping with the SMTC</w:t>
      </w:r>
      <w:r w:rsidR="000468E7" w:rsidRPr="003A5073">
        <w:rPr>
          <w:lang w:val="en-US"/>
        </w:rPr>
        <w:t xml:space="preserve">. </w:t>
      </w:r>
    </w:p>
    <w:p w14:paraId="0AF620ED" w14:textId="3ABE55C1" w:rsidR="00E64F79" w:rsidRPr="003A5073" w:rsidRDefault="000468E7" w:rsidP="00A55381">
      <w:pPr>
        <w:jc w:val="both"/>
        <w:rPr>
          <w:b/>
          <w:i/>
          <w:lang w:val="en-US"/>
        </w:rPr>
      </w:pPr>
      <w:r w:rsidRPr="003A5073">
        <w:rPr>
          <w:b/>
          <w:i/>
          <w:lang w:val="en-US"/>
        </w:rPr>
        <w:t>Observation</w:t>
      </w:r>
      <w:r w:rsidR="002A263C" w:rsidRPr="003A5073">
        <w:rPr>
          <w:b/>
          <w:i/>
          <w:lang w:val="en-US"/>
        </w:rPr>
        <w:t xml:space="preserve"> </w:t>
      </w:r>
      <w:r w:rsidR="00207C76" w:rsidRPr="003A5073">
        <w:rPr>
          <w:b/>
          <w:i/>
          <w:lang w:val="en-US"/>
        </w:rPr>
        <w:t>2</w:t>
      </w:r>
      <w:r w:rsidR="007E3027" w:rsidRPr="003A5073">
        <w:rPr>
          <w:b/>
          <w:i/>
          <w:lang w:val="en-US"/>
        </w:rPr>
        <w:t xml:space="preserve">: </w:t>
      </w:r>
      <w:r w:rsidR="002A263C" w:rsidRPr="003A5073">
        <w:rPr>
          <w:b/>
          <w:i/>
          <w:lang w:val="en-US"/>
        </w:rPr>
        <w:t>f</w:t>
      </w:r>
      <w:r w:rsidR="001B2175" w:rsidRPr="003A5073">
        <w:rPr>
          <w:b/>
          <w:i/>
          <w:lang w:val="en-US"/>
        </w:rPr>
        <w:t xml:space="preserve">or </w:t>
      </w:r>
      <w:r w:rsidR="00FE771B" w:rsidRPr="003A5073">
        <w:rPr>
          <w:b/>
          <w:i/>
          <w:lang w:val="en-US"/>
        </w:rPr>
        <w:t xml:space="preserve">slightly </w:t>
      </w:r>
      <w:r w:rsidR="00E64F79" w:rsidRPr="003A5073">
        <w:rPr>
          <w:b/>
          <w:i/>
          <w:lang w:val="en-US"/>
        </w:rPr>
        <w:t xml:space="preserve">synchronous </w:t>
      </w:r>
      <w:r w:rsidR="001B2175" w:rsidRPr="003A5073">
        <w:rPr>
          <w:b/>
          <w:i/>
          <w:lang w:val="en-US"/>
        </w:rPr>
        <w:t>ne</w:t>
      </w:r>
      <w:r w:rsidR="00E64F79" w:rsidRPr="003A5073">
        <w:rPr>
          <w:b/>
          <w:i/>
          <w:lang w:val="en-US"/>
        </w:rPr>
        <w:t>t</w:t>
      </w:r>
      <w:r w:rsidR="001B2175" w:rsidRPr="003A5073">
        <w:rPr>
          <w:b/>
          <w:i/>
          <w:lang w:val="en-US"/>
        </w:rPr>
        <w:t>work</w:t>
      </w:r>
      <w:r w:rsidR="002A263C" w:rsidRPr="003A5073">
        <w:rPr>
          <w:b/>
          <w:i/>
          <w:lang w:val="en-US"/>
        </w:rPr>
        <w:t>s</w:t>
      </w:r>
      <w:r w:rsidR="001B2175" w:rsidRPr="003A5073">
        <w:rPr>
          <w:b/>
          <w:i/>
          <w:lang w:val="en-US"/>
        </w:rPr>
        <w:t xml:space="preserve"> </w:t>
      </w:r>
      <w:r w:rsidR="007E3027" w:rsidRPr="003A5073">
        <w:rPr>
          <w:b/>
          <w:i/>
          <w:lang w:val="en-US"/>
        </w:rPr>
        <w:t xml:space="preserve">deployments, the DRS </w:t>
      </w:r>
      <w:r w:rsidR="001B2175" w:rsidRPr="003A5073">
        <w:rPr>
          <w:b/>
          <w:i/>
          <w:lang w:val="en-US"/>
        </w:rPr>
        <w:t xml:space="preserve">transmission </w:t>
      </w:r>
      <w:r w:rsidR="00DF4E0C" w:rsidRPr="003A5073">
        <w:rPr>
          <w:b/>
          <w:i/>
          <w:lang w:val="en-US"/>
        </w:rPr>
        <w:t xml:space="preserve">opportunity </w:t>
      </w:r>
      <w:r w:rsidR="007E3027" w:rsidRPr="003A5073">
        <w:rPr>
          <w:b/>
          <w:i/>
          <w:lang w:val="en-US"/>
        </w:rPr>
        <w:t xml:space="preserve">window on </w:t>
      </w:r>
      <w:r w:rsidR="006A58CF" w:rsidRPr="003A5073">
        <w:rPr>
          <w:b/>
          <w:i/>
          <w:lang w:val="en-US"/>
        </w:rPr>
        <w:t xml:space="preserve">a </w:t>
      </w:r>
      <w:r w:rsidR="007E3027" w:rsidRPr="003A5073">
        <w:rPr>
          <w:b/>
          <w:i/>
          <w:lang w:val="en-US"/>
        </w:rPr>
        <w:t xml:space="preserve">serving cell and </w:t>
      </w:r>
      <w:r w:rsidRPr="003A5073">
        <w:rPr>
          <w:b/>
          <w:i/>
          <w:lang w:val="en-US"/>
        </w:rPr>
        <w:t xml:space="preserve">the </w:t>
      </w:r>
      <w:r w:rsidR="007E3027" w:rsidRPr="003A5073">
        <w:rPr>
          <w:b/>
          <w:i/>
          <w:lang w:val="en-US"/>
        </w:rPr>
        <w:t xml:space="preserve">SMTC </w:t>
      </w:r>
      <w:r w:rsidRPr="003A5073">
        <w:rPr>
          <w:b/>
          <w:i/>
          <w:lang w:val="en-US"/>
        </w:rPr>
        <w:t xml:space="preserve">on the corresponding carrier frequency </w:t>
      </w:r>
      <w:r w:rsidR="00E64F79" w:rsidRPr="003A5073">
        <w:rPr>
          <w:b/>
          <w:i/>
          <w:lang w:val="en-US"/>
        </w:rPr>
        <w:t xml:space="preserve">may </w:t>
      </w:r>
      <w:r w:rsidR="00FE771B" w:rsidRPr="003A5073">
        <w:rPr>
          <w:b/>
          <w:i/>
          <w:lang w:val="en-US"/>
        </w:rPr>
        <w:t xml:space="preserve">be </w:t>
      </w:r>
      <w:r w:rsidR="007E3027" w:rsidRPr="003A5073">
        <w:rPr>
          <w:b/>
          <w:i/>
          <w:lang w:val="en-US"/>
        </w:rPr>
        <w:t>different</w:t>
      </w:r>
      <w:r w:rsidR="00FE771B" w:rsidRPr="003A5073">
        <w:rPr>
          <w:b/>
          <w:i/>
          <w:lang w:val="en-US"/>
        </w:rPr>
        <w:t xml:space="preserve"> </w:t>
      </w:r>
      <w:r w:rsidR="007E3027" w:rsidRPr="003A5073">
        <w:rPr>
          <w:b/>
          <w:i/>
          <w:lang w:val="en-US"/>
        </w:rPr>
        <w:t xml:space="preserve">but overlapping. </w:t>
      </w:r>
    </w:p>
    <w:p w14:paraId="4C2A7C9D" w14:textId="1A1956CB" w:rsidR="00FE771B" w:rsidRPr="003A5073" w:rsidRDefault="00FE771B" w:rsidP="00A55381">
      <w:pPr>
        <w:jc w:val="both"/>
        <w:rPr>
          <w:lang w:val="en-US"/>
        </w:rPr>
      </w:pPr>
      <w:r w:rsidRPr="003A5073">
        <w:rPr>
          <w:lang w:val="en-US"/>
        </w:rPr>
        <w:t xml:space="preserve">However, even in synchronous or slightly synchronous </w:t>
      </w:r>
      <w:r w:rsidR="00EA3CDE">
        <w:rPr>
          <w:lang w:val="en-US"/>
        </w:rPr>
        <w:t xml:space="preserve">NR-U </w:t>
      </w:r>
      <w:r w:rsidRPr="003A5073">
        <w:rPr>
          <w:lang w:val="en-US"/>
        </w:rPr>
        <w:t>deployments, due to LBT</w:t>
      </w:r>
      <w:r w:rsidR="00EA3CDE" w:rsidRPr="00EA3CDE">
        <w:rPr>
          <w:lang w:val="en-US"/>
        </w:rPr>
        <w:t xml:space="preserve"> </w:t>
      </w:r>
      <w:r w:rsidR="00EA3CDE" w:rsidRPr="003A5073">
        <w:rPr>
          <w:lang w:val="en-US"/>
        </w:rPr>
        <w:t>in unlicensed spectrum</w:t>
      </w:r>
      <w:r w:rsidRPr="003A5073">
        <w:rPr>
          <w:lang w:val="en-US"/>
        </w:rPr>
        <w:t>, the network may still see an advantage in time multiplexing the DRS transmission windows in neighbor cells. In this case, it may be useful to support non-overlapping</w:t>
      </w:r>
      <w:r w:rsidR="0062231D" w:rsidRPr="003A5073">
        <w:rPr>
          <w:lang w:val="en-US"/>
        </w:rPr>
        <w:t xml:space="preserve">, </w:t>
      </w:r>
      <w:r w:rsidRPr="003A5073">
        <w:rPr>
          <w:lang w:val="en-US"/>
        </w:rPr>
        <w:t>or at least partially non-overlapping</w:t>
      </w:r>
      <w:r w:rsidR="0062231D" w:rsidRPr="003A5073">
        <w:rPr>
          <w:lang w:val="en-US"/>
        </w:rPr>
        <w:t xml:space="preserve">, </w:t>
      </w:r>
      <w:r w:rsidRPr="003A5073">
        <w:rPr>
          <w:lang w:val="en-US"/>
        </w:rPr>
        <w:t xml:space="preserve">DRS transmission </w:t>
      </w:r>
      <w:r w:rsidR="0062231D" w:rsidRPr="003A5073">
        <w:rPr>
          <w:lang w:val="en-US"/>
        </w:rPr>
        <w:t xml:space="preserve">opportunity </w:t>
      </w:r>
      <w:r w:rsidRPr="003A5073">
        <w:rPr>
          <w:lang w:val="en-US"/>
        </w:rPr>
        <w:t>window and SMTC.</w:t>
      </w:r>
      <w:r w:rsidR="00207C76" w:rsidRPr="003A5073">
        <w:rPr>
          <w:lang w:val="en-US"/>
        </w:rPr>
        <w:t xml:space="preserve"> Some restrictions on the allowed</w:t>
      </w:r>
      <w:r w:rsidR="0062231D" w:rsidRPr="003A5073">
        <w:rPr>
          <w:lang w:val="en-US"/>
        </w:rPr>
        <w:t xml:space="preserve"> non-overlapping configurations may be needed </w:t>
      </w:r>
      <w:r w:rsidR="00EA3CDE">
        <w:rPr>
          <w:lang w:val="en-US"/>
        </w:rPr>
        <w:t xml:space="preserve">though </w:t>
      </w:r>
      <w:r w:rsidR="0062231D" w:rsidRPr="003A5073">
        <w:rPr>
          <w:lang w:val="en-US"/>
        </w:rPr>
        <w:t>to limit the time the UE is performing measurements on the corresponding carrier frequency</w:t>
      </w:r>
      <w:r w:rsidR="00207C76" w:rsidRPr="003A5073">
        <w:rPr>
          <w:lang w:val="en-US"/>
        </w:rPr>
        <w:t xml:space="preserve">. </w:t>
      </w:r>
    </w:p>
    <w:p w14:paraId="3B69BD27" w14:textId="3D2BB179" w:rsidR="00FE771B" w:rsidRPr="003A5073" w:rsidRDefault="00FE771B" w:rsidP="00A55381">
      <w:pPr>
        <w:jc w:val="both"/>
        <w:rPr>
          <w:b/>
          <w:i/>
          <w:lang w:val="en-US"/>
        </w:rPr>
      </w:pPr>
      <w:r w:rsidRPr="003A5073">
        <w:rPr>
          <w:b/>
          <w:i/>
          <w:lang w:val="en-US"/>
        </w:rPr>
        <w:t xml:space="preserve">Observation 3: for synchronous or slightly synchronous network deployments, it may in some cases be beneficial to configure the DRS transmission opportunity window on a cell and the SMTC on the corresponding carrier frequency to be non-overlapping (or at least partially non-overlapping). </w:t>
      </w:r>
    </w:p>
    <w:p w14:paraId="3523B335" w14:textId="7E7DFE6F" w:rsidR="00FA4638" w:rsidRPr="003A5073" w:rsidRDefault="001B2175" w:rsidP="00A55381">
      <w:pPr>
        <w:jc w:val="both"/>
        <w:rPr>
          <w:lang w:val="en-US"/>
        </w:rPr>
      </w:pPr>
      <w:r w:rsidRPr="003A5073">
        <w:rPr>
          <w:lang w:val="en-US"/>
        </w:rPr>
        <w:t xml:space="preserve">Based on above observations, we make the following proposal: </w:t>
      </w:r>
    </w:p>
    <w:p w14:paraId="76406568" w14:textId="44CD4DBC" w:rsidR="00207C76" w:rsidRPr="003A5073" w:rsidRDefault="00207C76" w:rsidP="00A55381">
      <w:pPr>
        <w:jc w:val="both"/>
        <w:rPr>
          <w:b/>
          <w:lang w:val="en-US"/>
        </w:rPr>
      </w:pPr>
      <w:r w:rsidRPr="003A5073">
        <w:rPr>
          <w:b/>
          <w:lang w:val="en-US"/>
        </w:rPr>
        <w:t>Proposal 2: RAN2 should discuss and decide</w:t>
      </w:r>
      <w:r w:rsidR="0062231D" w:rsidRPr="003A5073">
        <w:rPr>
          <w:b/>
          <w:lang w:val="en-US"/>
        </w:rPr>
        <w:t>:</w:t>
      </w:r>
      <w:r w:rsidRPr="003A5073">
        <w:rPr>
          <w:b/>
          <w:lang w:val="en-US"/>
        </w:rPr>
        <w:t xml:space="preserve"> </w:t>
      </w:r>
    </w:p>
    <w:p w14:paraId="36A07908" w14:textId="6D56BC17" w:rsidR="00207C76" w:rsidRPr="003A5073" w:rsidRDefault="00207C76" w:rsidP="00A55381">
      <w:pPr>
        <w:pStyle w:val="ListParagraph"/>
        <w:numPr>
          <w:ilvl w:val="0"/>
          <w:numId w:val="11"/>
        </w:numPr>
        <w:ind w:left="714" w:hanging="357"/>
        <w:contextualSpacing w:val="0"/>
        <w:jc w:val="both"/>
        <w:rPr>
          <w:b/>
          <w:lang w:val="en-US"/>
        </w:rPr>
      </w:pPr>
      <w:r w:rsidRPr="003A5073">
        <w:rPr>
          <w:b/>
          <w:lang w:val="en-US"/>
        </w:rPr>
        <w:t>whether, to support intra-frequency measurements in CONNECTED mode in synchronous, slightly synchronous, and asynchronous deployment scenarios, allowing non-overlapping DRS transmission opportunity window on a cell and SMTC on the corresponding carrier frequency is needed</w:t>
      </w:r>
    </w:p>
    <w:p w14:paraId="4E56EE6B" w14:textId="132C0762" w:rsidR="00207C76" w:rsidRPr="003A5073" w:rsidRDefault="00207C76" w:rsidP="00A55381">
      <w:pPr>
        <w:pStyle w:val="ListParagraph"/>
        <w:numPr>
          <w:ilvl w:val="0"/>
          <w:numId w:val="11"/>
        </w:numPr>
        <w:jc w:val="both"/>
        <w:rPr>
          <w:b/>
          <w:lang w:val="en-US"/>
        </w:rPr>
      </w:pPr>
      <w:r w:rsidRPr="003A5073">
        <w:rPr>
          <w:b/>
          <w:lang w:val="en-US"/>
        </w:rPr>
        <w:t xml:space="preserve">whether, to limit the time the UE is performing measurements, there should be restrictions on the allowed non-overlapping configurations  </w:t>
      </w:r>
    </w:p>
    <w:p w14:paraId="0CD8B490" w14:textId="7232588F" w:rsidR="00AC1944" w:rsidRPr="003A5073" w:rsidRDefault="00B424EC" w:rsidP="00AC1944">
      <w:pPr>
        <w:pStyle w:val="Heading1"/>
        <w:pBdr>
          <w:top w:val="single" w:sz="12" w:space="4" w:color="auto"/>
        </w:pBdr>
        <w:rPr>
          <w:lang w:val="en-US"/>
        </w:rPr>
      </w:pPr>
      <w:r w:rsidRPr="003A5073">
        <w:rPr>
          <w:lang w:val="en-US" w:eastAsia="zh-CN"/>
        </w:rPr>
        <w:t>3</w:t>
      </w:r>
      <w:r w:rsidR="00AC1944" w:rsidRPr="003A5073">
        <w:rPr>
          <w:lang w:val="en-US"/>
        </w:rPr>
        <w:tab/>
      </w:r>
      <w:r w:rsidR="00AC1944" w:rsidRPr="003A5073">
        <w:rPr>
          <w:lang w:val="en-US" w:eastAsia="zh-CN"/>
        </w:rPr>
        <w:t xml:space="preserve">Conclusion </w:t>
      </w:r>
    </w:p>
    <w:p w14:paraId="4344E2AA" w14:textId="25C0A137" w:rsidR="00CB151F" w:rsidRDefault="00CB151F" w:rsidP="00CB151F">
      <w:pPr>
        <w:jc w:val="both"/>
        <w:rPr>
          <w:lang w:val="en-US"/>
        </w:rPr>
      </w:pPr>
      <w:r w:rsidRPr="003A5073">
        <w:rPr>
          <w:lang w:val="en-US"/>
        </w:rPr>
        <w:t xml:space="preserve">In this paper we discussed </w:t>
      </w:r>
      <w:r w:rsidR="00687E13" w:rsidRPr="003A5073">
        <w:rPr>
          <w:lang w:val="en-US"/>
        </w:rPr>
        <w:t xml:space="preserve">the relation between DRS transmission opportunity window and </w:t>
      </w:r>
      <w:r w:rsidRPr="003A5073">
        <w:rPr>
          <w:bCs/>
          <w:lang w:val="en-US"/>
        </w:rPr>
        <w:t>SMTC</w:t>
      </w:r>
      <w:r w:rsidR="00687E13" w:rsidRPr="003A5073">
        <w:rPr>
          <w:bCs/>
          <w:lang w:val="en-US"/>
        </w:rPr>
        <w:t xml:space="preserve"> </w:t>
      </w:r>
      <w:r w:rsidRPr="003A5073">
        <w:rPr>
          <w:bCs/>
          <w:lang w:val="en-US"/>
        </w:rPr>
        <w:t>in NR-U</w:t>
      </w:r>
      <w:r w:rsidRPr="003A5073">
        <w:rPr>
          <w:lang w:val="en-US"/>
        </w:rPr>
        <w:t>, and made the following observations and proposals:</w:t>
      </w:r>
    </w:p>
    <w:p w14:paraId="080E4B02" w14:textId="77777777" w:rsidR="00761D98" w:rsidRPr="003A5073" w:rsidRDefault="00761D98" w:rsidP="00761D98">
      <w:pPr>
        <w:jc w:val="both"/>
        <w:rPr>
          <w:b/>
          <w:lang w:val="en-US"/>
        </w:rPr>
      </w:pPr>
      <w:r w:rsidRPr="003A5073">
        <w:rPr>
          <w:b/>
          <w:lang w:val="en-US"/>
        </w:rPr>
        <w:t xml:space="preserve">Proposal 1: the DRS transmission opportunity window on a cell and the SMTC for intra-frequency measurements in IDLE/INACTIVE mode are configured separately in the System Information. </w:t>
      </w:r>
    </w:p>
    <w:p w14:paraId="247D024F" w14:textId="77777777" w:rsidR="00761D98" w:rsidRPr="003A5073" w:rsidRDefault="00761D98" w:rsidP="00761D98">
      <w:pPr>
        <w:jc w:val="both"/>
        <w:rPr>
          <w:lang w:val="en-US"/>
        </w:rPr>
      </w:pPr>
      <w:r w:rsidRPr="003A5073">
        <w:rPr>
          <w:b/>
          <w:i/>
          <w:lang w:val="en-US"/>
        </w:rPr>
        <w:t>Observation 1: for synchronous network deployments, the DRS transmission opportunity window on a cell and the SMTC on the corresponding carrier frequency can be assumed to be the same</w:t>
      </w:r>
      <w:r>
        <w:rPr>
          <w:b/>
          <w:i/>
          <w:lang w:val="en-US"/>
        </w:rPr>
        <w:t>.</w:t>
      </w:r>
      <w:r w:rsidRPr="003A5073">
        <w:rPr>
          <w:b/>
          <w:i/>
          <w:lang w:val="en-US"/>
        </w:rPr>
        <w:t xml:space="preserve"> </w:t>
      </w:r>
    </w:p>
    <w:p w14:paraId="06763FE3" w14:textId="77777777" w:rsidR="00761D98" w:rsidRPr="003A5073" w:rsidRDefault="00761D98" w:rsidP="00761D98">
      <w:pPr>
        <w:jc w:val="both"/>
        <w:rPr>
          <w:b/>
          <w:i/>
          <w:lang w:val="en-US"/>
        </w:rPr>
      </w:pPr>
      <w:r w:rsidRPr="003A5073">
        <w:rPr>
          <w:b/>
          <w:i/>
          <w:lang w:val="en-US"/>
        </w:rPr>
        <w:t xml:space="preserve">Observation 2: for slightly synchronous networks deployments, the DRS transmission opportunity window on a serving cell and the SMTC on the corresponding carrier frequency may be different but overlapping. </w:t>
      </w:r>
    </w:p>
    <w:p w14:paraId="481E7EB5" w14:textId="77777777" w:rsidR="00761D98" w:rsidRPr="003A5073" w:rsidRDefault="00761D98" w:rsidP="00761D98">
      <w:pPr>
        <w:jc w:val="both"/>
        <w:rPr>
          <w:b/>
          <w:i/>
          <w:lang w:val="en-US"/>
        </w:rPr>
      </w:pPr>
      <w:r w:rsidRPr="003A5073">
        <w:rPr>
          <w:b/>
          <w:i/>
          <w:lang w:val="en-US"/>
        </w:rPr>
        <w:lastRenderedPageBreak/>
        <w:t xml:space="preserve">Observation 3: for synchronous or slightly synchronous network deployments, it may in some cases be beneficial to configure the DRS transmission opportunity window on a cell and the SMTC on the corresponding carrier frequency to be non-overlapping (or at least partially non-overlapping). </w:t>
      </w:r>
    </w:p>
    <w:p w14:paraId="0F59278B" w14:textId="77777777" w:rsidR="00761D98" w:rsidRPr="003A5073" w:rsidRDefault="00761D98" w:rsidP="00761D98">
      <w:pPr>
        <w:jc w:val="both"/>
        <w:rPr>
          <w:b/>
          <w:lang w:val="en-US"/>
        </w:rPr>
      </w:pPr>
      <w:r w:rsidRPr="003A5073">
        <w:rPr>
          <w:b/>
          <w:lang w:val="en-US"/>
        </w:rPr>
        <w:t xml:space="preserve">Proposal 2: RAN2 should discuss and decide: </w:t>
      </w:r>
    </w:p>
    <w:p w14:paraId="6A4EC088" w14:textId="77777777" w:rsidR="00761D98" w:rsidRPr="003A5073" w:rsidRDefault="00761D98" w:rsidP="00761D98">
      <w:pPr>
        <w:pStyle w:val="ListParagraph"/>
        <w:numPr>
          <w:ilvl w:val="0"/>
          <w:numId w:val="11"/>
        </w:numPr>
        <w:ind w:left="714" w:hanging="357"/>
        <w:contextualSpacing w:val="0"/>
        <w:jc w:val="both"/>
        <w:rPr>
          <w:b/>
          <w:lang w:val="en-US"/>
        </w:rPr>
      </w:pPr>
      <w:r w:rsidRPr="003A5073">
        <w:rPr>
          <w:b/>
          <w:lang w:val="en-US"/>
        </w:rPr>
        <w:t>whether, to support intra-frequency measurements in CONNECTED mode in synchronous, slightly synchronous, and asynchronous deployment scenarios, allowing non-overlapping DRS transmission opportunity window on a cell and SMTC on the corresponding carrier frequency is needed</w:t>
      </w:r>
    </w:p>
    <w:p w14:paraId="6A3D14B8" w14:textId="77777777" w:rsidR="00761D98" w:rsidRPr="003A5073" w:rsidRDefault="00761D98" w:rsidP="00761D98">
      <w:pPr>
        <w:pStyle w:val="ListParagraph"/>
        <w:numPr>
          <w:ilvl w:val="0"/>
          <w:numId w:val="11"/>
        </w:numPr>
        <w:jc w:val="both"/>
        <w:rPr>
          <w:b/>
          <w:lang w:val="en-US"/>
        </w:rPr>
      </w:pPr>
      <w:r w:rsidRPr="003A5073">
        <w:rPr>
          <w:b/>
          <w:lang w:val="en-US"/>
        </w:rPr>
        <w:t xml:space="preserve">whether, to limit the time the UE is performing measurements, there should be restrictions on the allowed non-overlapping configurations  </w:t>
      </w:r>
    </w:p>
    <w:p w14:paraId="69F57173" w14:textId="77777777" w:rsidR="00761D98" w:rsidRPr="003A5073" w:rsidRDefault="00761D98" w:rsidP="00CB151F">
      <w:pPr>
        <w:jc w:val="both"/>
        <w:rPr>
          <w:lang w:val="en-US"/>
        </w:rPr>
      </w:pPr>
    </w:p>
    <w:p w14:paraId="4BF35573" w14:textId="77777777" w:rsidR="00AC1944" w:rsidRPr="003A5073" w:rsidRDefault="00AC1944" w:rsidP="00CB151F">
      <w:pPr>
        <w:pStyle w:val="Heading1"/>
        <w:jc w:val="both"/>
        <w:rPr>
          <w:lang w:val="en-US"/>
        </w:rPr>
      </w:pPr>
      <w:r w:rsidRPr="003A5073">
        <w:rPr>
          <w:lang w:val="en-US"/>
        </w:rPr>
        <w:t>References</w:t>
      </w:r>
    </w:p>
    <w:bookmarkStart w:id="1" w:name="_Hlk536627748"/>
    <w:bookmarkStart w:id="2" w:name="_Ref75086397"/>
    <w:p w14:paraId="35C62718" w14:textId="132A7B63" w:rsidR="00562761" w:rsidRPr="003A5073" w:rsidRDefault="00894805" w:rsidP="00CB151F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3A5073">
        <w:rPr>
          <w:rStyle w:val="Hyperlink"/>
          <w:lang w:val="en-US"/>
        </w:rPr>
        <w:fldChar w:fldCharType="begin"/>
      </w:r>
      <w:r w:rsidRPr="003A5073">
        <w:rPr>
          <w:rStyle w:val="Hyperlink"/>
          <w:lang w:val="en-US"/>
        </w:rPr>
        <w:instrText xml:space="preserve"> HYPERLINK "http://3gpp.org/ftp/tsg_ran/TSG_RAN/TSGR_82/Docs/RP-182878.zip" </w:instrText>
      </w:r>
      <w:r w:rsidRPr="003A5073">
        <w:rPr>
          <w:rStyle w:val="Hyperlink"/>
          <w:lang w:val="en-US"/>
        </w:rPr>
        <w:fldChar w:fldCharType="separate"/>
      </w:r>
      <w:r w:rsidR="00562761" w:rsidRPr="003A5073">
        <w:rPr>
          <w:rStyle w:val="Hyperlink"/>
          <w:lang w:val="en-US"/>
        </w:rPr>
        <w:t>RP-182878</w:t>
      </w:r>
      <w:r w:rsidRPr="003A5073">
        <w:rPr>
          <w:rStyle w:val="Hyperlink"/>
          <w:lang w:val="en-US"/>
        </w:rPr>
        <w:fldChar w:fldCharType="end"/>
      </w:r>
      <w:r w:rsidR="00562761" w:rsidRPr="003A5073">
        <w:rPr>
          <w:i/>
          <w:lang w:val="en-US"/>
        </w:rPr>
        <w:t>, New WID on NR-based Access to Unlicensed Spectrum</w:t>
      </w:r>
      <w:r w:rsidR="00562761" w:rsidRPr="003A5073">
        <w:rPr>
          <w:lang w:val="en-US"/>
        </w:rPr>
        <w:t>, Qualcomm Inc.</w:t>
      </w:r>
    </w:p>
    <w:p w14:paraId="1112EF30" w14:textId="77777777" w:rsidR="0067779B" w:rsidRPr="003A5073" w:rsidRDefault="00761D98" w:rsidP="0067779B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hyperlink r:id="rId13" w:history="1">
        <w:r w:rsidR="00894805" w:rsidRPr="003A5073">
          <w:rPr>
            <w:rStyle w:val="Hyperlink"/>
            <w:lang w:val="en-US"/>
          </w:rPr>
          <w:t>TR 38.889</w:t>
        </w:r>
      </w:hyperlink>
      <w:r w:rsidR="00894805" w:rsidRPr="003A5073">
        <w:rPr>
          <w:lang w:val="en-US"/>
        </w:rPr>
        <w:t xml:space="preserve">, </w:t>
      </w:r>
      <w:r w:rsidR="00894805" w:rsidRPr="003A5073">
        <w:rPr>
          <w:rFonts w:eastAsia="MS Mincho"/>
          <w:i/>
          <w:lang w:val="en-US"/>
        </w:rPr>
        <w:t>Study on NR-based access to unlicensed spectrum</w:t>
      </w:r>
      <w:r w:rsidR="00894805" w:rsidRPr="003A5073">
        <w:rPr>
          <w:rFonts w:eastAsia="MS Mincho"/>
          <w:lang w:val="en-US"/>
        </w:rPr>
        <w:t xml:space="preserve">, </w:t>
      </w:r>
      <w:r w:rsidR="00894805" w:rsidRPr="003A5073">
        <w:rPr>
          <w:lang w:val="en-US"/>
        </w:rPr>
        <w:t>V16.0.0 (2018-12)</w:t>
      </w:r>
    </w:p>
    <w:p w14:paraId="35F222F4" w14:textId="5C407C54" w:rsidR="00080512" w:rsidRPr="00507692" w:rsidRDefault="00D010CE" w:rsidP="0067779B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rStyle w:val="normaltextrun1"/>
          <w:lang w:val="en-US"/>
        </w:rPr>
      </w:pPr>
      <w:r w:rsidRPr="00507692">
        <w:rPr>
          <w:lang w:val="en-US"/>
        </w:rPr>
        <w:t>R2-19</w:t>
      </w:r>
      <w:r w:rsidR="00507692">
        <w:rPr>
          <w:lang w:val="en-US"/>
        </w:rPr>
        <w:t>06749</w:t>
      </w:r>
      <w:r w:rsidRPr="00507692">
        <w:rPr>
          <w:lang w:val="en-US"/>
        </w:rPr>
        <w:t xml:space="preserve">, </w:t>
      </w:r>
      <w:r w:rsidRPr="00507692">
        <w:rPr>
          <w:rStyle w:val="normaltextrun1"/>
          <w:bCs/>
          <w:i/>
          <w:lang w:val="en-US"/>
        </w:rPr>
        <w:t>Considerations on mobility and measurement gap enhancements in NR-U</w:t>
      </w:r>
      <w:r w:rsidRPr="00507692">
        <w:rPr>
          <w:lang w:val="en-US"/>
        </w:rPr>
        <w:t>,</w:t>
      </w:r>
      <w:r w:rsidR="005A4415" w:rsidRPr="00507692">
        <w:rPr>
          <w:lang w:val="en-US"/>
        </w:rPr>
        <w:t xml:space="preserve"> </w:t>
      </w:r>
      <w:r w:rsidR="005A4415" w:rsidRPr="00507692">
        <w:rPr>
          <w:rStyle w:val="normaltextrun1"/>
          <w:bCs/>
          <w:lang w:val="en-US"/>
        </w:rPr>
        <w:t>Nokia, Nokia Shanghai Bell</w:t>
      </w:r>
      <w:bookmarkEnd w:id="1"/>
      <w:bookmarkEnd w:id="2"/>
    </w:p>
    <w:p w14:paraId="61A6FC95" w14:textId="1C1700B0" w:rsidR="0067779B" w:rsidRPr="00507692" w:rsidRDefault="0067779B" w:rsidP="0067779B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bookmarkStart w:id="3" w:name="_GoBack"/>
      <w:bookmarkEnd w:id="3"/>
      <w:r w:rsidRPr="00507692">
        <w:rPr>
          <w:lang w:val="en-US"/>
        </w:rPr>
        <w:t>R2-19</w:t>
      </w:r>
      <w:r w:rsidR="00507692">
        <w:rPr>
          <w:lang w:val="en-US"/>
        </w:rPr>
        <w:t>06750</w:t>
      </w:r>
      <w:r w:rsidRPr="00507692">
        <w:rPr>
          <w:lang w:val="en-US"/>
        </w:rPr>
        <w:t xml:space="preserve">, </w:t>
      </w:r>
      <w:r w:rsidRPr="00507692">
        <w:rPr>
          <w:bCs/>
          <w:i/>
        </w:rPr>
        <w:t>On UL transmissions during SMTC in NR-U</w:t>
      </w:r>
      <w:r w:rsidRPr="00507692">
        <w:rPr>
          <w:i/>
          <w:lang w:val="en-US"/>
        </w:rPr>
        <w:t>,</w:t>
      </w:r>
      <w:r w:rsidRPr="00507692">
        <w:rPr>
          <w:lang w:val="en-US"/>
        </w:rPr>
        <w:t xml:space="preserve"> </w:t>
      </w:r>
      <w:r w:rsidRPr="00507692">
        <w:rPr>
          <w:rStyle w:val="normaltextrun1"/>
          <w:bCs/>
          <w:lang w:val="en-US"/>
        </w:rPr>
        <w:t>Nokia, Nokia Shanghai Bell</w:t>
      </w:r>
    </w:p>
    <w:p w14:paraId="18787ED9" w14:textId="77777777" w:rsidR="0067779B" w:rsidRPr="0067779B" w:rsidRDefault="0067779B" w:rsidP="0067779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sectPr w:rsidR="0067779B" w:rsidRPr="0067779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2DFFA" w14:textId="77777777" w:rsidR="00B31949" w:rsidRDefault="00B31949">
      <w:r>
        <w:separator/>
      </w:r>
    </w:p>
  </w:endnote>
  <w:endnote w:type="continuationSeparator" w:id="0">
    <w:p w14:paraId="24BEF30E" w14:textId="77777777" w:rsidR="00B31949" w:rsidRDefault="00B31949">
      <w:r>
        <w:continuationSeparator/>
      </w:r>
    </w:p>
  </w:endnote>
  <w:endnote w:type="continuationNotice" w:id="1">
    <w:p w14:paraId="44041721" w14:textId="77777777" w:rsidR="00B31949" w:rsidRDefault="00B319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F5B7E" w14:textId="77777777" w:rsidR="00B31949" w:rsidRDefault="00B31949">
      <w:r>
        <w:separator/>
      </w:r>
    </w:p>
  </w:footnote>
  <w:footnote w:type="continuationSeparator" w:id="0">
    <w:p w14:paraId="44D63A31" w14:textId="77777777" w:rsidR="00B31949" w:rsidRDefault="00B31949">
      <w:r>
        <w:continuationSeparator/>
      </w:r>
    </w:p>
  </w:footnote>
  <w:footnote w:type="continuationNotice" w:id="1">
    <w:p w14:paraId="693D197A" w14:textId="77777777" w:rsidR="00B31949" w:rsidRDefault="00B319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2B572B"/>
    <w:multiLevelType w:val="hybridMultilevel"/>
    <w:tmpl w:val="B4D84A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DD4E93"/>
    <w:multiLevelType w:val="hybridMultilevel"/>
    <w:tmpl w:val="DC703C00"/>
    <w:lvl w:ilvl="0" w:tplc="4BC4280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00CF1"/>
    <w:multiLevelType w:val="hybridMultilevel"/>
    <w:tmpl w:val="49C8D042"/>
    <w:lvl w:ilvl="0" w:tplc="249616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671"/>
        </w:tabs>
        <w:ind w:left="67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92"/>
        </w:tabs>
        <w:ind w:left="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52"/>
        </w:tabs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12"/>
        </w:tabs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55E"/>
    <w:rsid w:val="0001664A"/>
    <w:rsid w:val="0002782C"/>
    <w:rsid w:val="00031CA0"/>
    <w:rsid w:val="000328CC"/>
    <w:rsid w:val="00033397"/>
    <w:rsid w:val="00034DAD"/>
    <w:rsid w:val="00034DFE"/>
    <w:rsid w:val="00040095"/>
    <w:rsid w:val="000468E7"/>
    <w:rsid w:val="00074B9B"/>
    <w:rsid w:val="0008045C"/>
    <w:rsid w:val="00080512"/>
    <w:rsid w:val="00090468"/>
    <w:rsid w:val="00090ABC"/>
    <w:rsid w:val="000A0C46"/>
    <w:rsid w:val="000A17EC"/>
    <w:rsid w:val="000B7BCF"/>
    <w:rsid w:val="000C522B"/>
    <w:rsid w:val="000D58AB"/>
    <w:rsid w:val="000E37DF"/>
    <w:rsid w:val="00100E34"/>
    <w:rsid w:val="00112F1A"/>
    <w:rsid w:val="00115EFA"/>
    <w:rsid w:val="001258EA"/>
    <w:rsid w:val="0013620A"/>
    <w:rsid w:val="00140D7D"/>
    <w:rsid w:val="0014399F"/>
    <w:rsid w:val="00145075"/>
    <w:rsid w:val="00166284"/>
    <w:rsid w:val="00170FDD"/>
    <w:rsid w:val="00173687"/>
    <w:rsid w:val="001741A0"/>
    <w:rsid w:val="00175FA0"/>
    <w:rsid w:val="00194CD0"/>
    <w:rsid w:val="001B2175"/>
    <w:rsid w:val="001B49C9"/>
    <w:rsid w:val="001C4F79"/>
    <w:rsid w:val="001F168B"/>
    <w:rsid w:val="001F601E"/>
    <w:rsid w:val="001F65D7"/>
    <w:rsid w:val="001F6FFB"/>
    <w:rsid w:val="001F7831"/>
    <w:rsid w:val="00204045"/>
    <w:rsid w:val="0020712B"/>
    <w:rsid w:val="00207C76"/>
    <w:rsid w:val="00214F92"/>
    <w:rsid w:val="0022606D"/>
    <w:rsid w:val="00231728"/>
    <w:rsid w:val="00235906"/>
    <w:rsid w:val="00235E08"/>
    <w:rsid w:val="00247AA6"/>
    <w:rsid w:val="00253938"/>
    <w:rsid w:val="002610D8"/>
    <w:rsid w:val="002747EC"/>
    <w:rsid w:val="002855BF"/>
    <w:rsid w:val="00296058"/>
    <w:rsid w:val="002A263C"/>
    <w:rsid w:val="002C4C69"/>
    <w:rsid w:val="002F0D22"/>
    <w:rsid w:val="002F63EF"/>
    <w:rsid w:val="0030193D"/>
    <w:rsid w:val="003172DC"/>
    <w:rsid w:val="00321192"/>
    <w:rsid w:val="0032277C"/>
    <w:rsid w:val="00325AE3"/>
    <w:rsid w:val="00326069"/>
    <w:rsid w:val="003366FC"/>
    <w:rsid w:val="0034344A"/>
    <w:rsid w:val="003527D5"/>
    <w:rsid w:val="0035462D"/>
    <w:rsid w:val="0035622A"/>
    <w:rsid w:val="003615FB"/>
    <w:rsid w:val="00361620"/>
    <w:rsid w:val="00364B41"/>
    <w:rsid w:val="003A41EF"/>
    <w:rsid w:val="003A43F0"/>
    <w:rsid w:val="003A5073"/>
    <w:rsid w:val="003B354B"/>
    <w:rsid w:val="003B40AD"/>
    <w:rsid w:val="003C342C"/>
    <w:rsid w:val="003C4199"/>
    <w:rsid w:val="003C4E37"/>
    <w:rsid w:val="003E0718"/>
    <w:rsid w:val="003E16BE"/>
    <w:rsid w:val="003E1FFF"/>
    <w:rsid w:val="003F4E28"/>
    <w:rsid w:val="004006E8"/>
    <w:rsid w:val="00401855"/>
    <w:rsid w:val="00416E40"/>
    <w:rsid w:val="0042047E"/>
    <w:rsid w:val="00422371"/>
    <w:rsid w:val="00436CF6"/>
    <w:rsid w:val="00441FB8"/>
    <w:rsid w:val="00462C7E"/>
    <w:rsid w:val="00465587"/>
    <w:rsid w:val="00477455"/>
    <w:rsid w:val="00485B60"/>
    <w:rsid w:val="00492199"/>
    <w:rsid w:val="004A1F7B"/>
    <w:rsid w:val="004B51C3"/>
    <w:rsid w:val="004C44D2"/>
    <w:rsid w:val="004D3578"/>
    <w:rsid w:val="004D380D"/>
    <w:rsid w:val="004D3B4D"/>
    <w:rsid w:val="004D6DCE"/>
    <w:rsid w:val="004E213A"/>
    <w:rsid w:val="004E52C9"/>
    <w:rsid w:val="004E6FE1"/>
    <w:rsid w:val="004F046F"/>
    <w:rsid w:val="00503171"/>
    <w:rsid w:val="00506C28"/>
    <w:rsid w:val="00507692"/>
    <w:rsid w:val="00511B39"/>
    <w:rsid w:val="00534DA0"/>
    <w:rsid w:val="00543E6C"/>
    <w:rsid w:val="0055239B"/>
    <w:rsid w:val="00562761"/>
    <w:rsid w:val="00565087"/>
    <w:rsid w:val="0056573F"/>
    <w:rsid w:val="005A4415"/>
    <w:rsid w:val="005B7C24"/>
    <w:rsid w:val="005D0C02"/>
    <w:rsid w:val="006015CB"/>
    <w:rsid w:val="00611566"/>
    <w:rsid w:val="00621CEE"/>
    <w:rsid w:val="0062231D"/>
    <w:rsid w:val="00641130"/>
    <w:rsid w:val="00642D09"/>
    <w:rsid w:val="00646D99"/>
    <w:rsid w:val="00647B54"/>
    <w:rsid w:val="00656910"/>
    <w:rsid w:val="00656A35"/>
    <w:rsid w:val="00672B75"/>
    <w:rsid w:val="00674A2E"/>
    <w:rsid w:val="0067779B"/>
    <w:rsid w:val="00680E00"/>
    <w:rsid w:val="00687E13"/>
    <w:rsid w:val="006A58CF"/>
    <w:rsid w:val="006B0CD1"/>
    <w:rsid w:val="006C66D8"/>
    <w:rsid w:val="006C79C0"/>
    <w:rsid w:val="006D1E24"/>
    <w:rsid w:val="006E1417"/>
    <w:rsid w:val="006F6A2C"/>
    <w:rsid w:val="00706774"/>
    <w:rsid w:val="00710201"/>
    <w:rsid w:val="007342B5"/>
    <w:rsid w:val="00734A5B"/>
    <w:rsid w:val="007377FF"/>
    <w:rsid w:val="00744E76"/>
    <w:rsid w:val="0075331F"/>
    <w:rsid w:val="00756508"/>
    <w:rsid w:val="00757D40"/>
    <w:rsid w:val="00761D98"/>
    <w:rsid w:val="00762554"/>
    <w:rsid w:val="00777AB3"/>
    <w:rsid w:val="00781F0F"/>
    <w:rsid w:val="0078727C"/>
    <w:rsid w:val="0079049D"/>
    <w:rsid w:val="00793DC5"/>
    <w:rsid w:val="007B18D8"/>
    <w:rsid w:val="007C095F"/>
    <w:rsid w:val="007C2DD0"/>
    <w:rsid w:val="007C614C"/>
    <w:rsid w:val="007D7E00"/>
    <w:rsid w:val="007E3027"/>
    <w:rsid w:val="007E70E8"/>
    <w:rsid w:val="007E70F1"/>
    <w:rsid w:val="008028A4"/>
    <w:rsid w:val="00813245"/>
    <w:rsid w:val="00852755"/>
    <w:rsid w:val="0085390C"/>
    <w:rsid w:val="00857A96"/>
    <w:rsid w:val="008620B9"/>
    <w:rsid w:val="00866D7A"/>
    <w:rsid w:val="008768CA"/>
    <w:rsid w:val="00877EF9"/>
    <w:rsid w:val="00880559"/>
    <w:rsid w:val="00894805"/>
    <w:rsid w:val="0089556F"/>
    <w:rsid w:val="008A3113"/>
    <w:rsid w:val="008A4330"/>
    <w:rsid w:val="008B5306"/>
    <w:rsid w:val="008C4DEC"/>
    <w:rsid w:val="008D2E4D"/>
    <w:rsid w:val="008E00FD"/>
    <w:rsid w:val="008F2E99"/>
    <w:rsid w:val="008F396F"/>
    <w:rsid w:val="008F6508"/>
    <w:rsid w:val="0090271F"/>
    <w:rsid w:val="00902DB9"/>
    <w:rsid w:val="0090466A"/>
    <w:rsid w:val="00917DD2"/>
    <w:rsid w:val="00936071"/>
    <w:rsid w:val="00940212"/>
    <w:rsid w:val="0094148F"/>
    <w:rsid w:val="00942EC2"/>
    <w:rsid w:val="00952718"/>
    <w:rsid w:val="00961B32"/>
    <w:rsid w:val="00962509"/>
    <w:rsid w:val="00970DB3"/>
    <w:rsid w:val="00974BB0"/>
    <w:rsid w:val="00984C50"/>
    <w:rsid w:val="009869FD"/>
    <w:rsid w:val="00994070"/>
    <w:rsid w:val="00994BEA"/>
    <w:rsid w:val="009A0AF3"/>
    <w:rsid w:val="009A3AD9"/>
    <w:rsid w:val="009B07CD"/>
    <w:rsid w:val="009C19E9"/>
    <w:rsid w:val="009D74A6"/>
    <w:rsid w:val="009E3945"/>
    <w:rsid w:val="009E4BEE"/>
    <w:rsid w:val="009F49BA"/>
    <w:rsid w:val="009F7B4F"/>
    <w:rsid w:val="00A04171"/>
    <w:rsid w:val="00A10F02"/>
    <w:rsid w:val="00A12DB2"/>
    <w:rsid w:val="00A1767E"/>
    <w:rsid w:val="00A17FD7"/>
    <w:rsid w:val="00A204CA"/>
    <w:rsid w:val="00A2424F"/>
    <w:rsid w:val="00A34CEA"/>
    <w:rsid w:val="00A5175C"/>
    <w:rsid w:val="00A52823"/>
    <w:rsid w:val="00A53724"/>
    <w:rsid w:val="00A55381"/>
    <w:rsid w:val="00A82346"/>
    <w:rsid w:val="00A9671C"/>
    <w:rsid w:val="00AA1553"/>
    <w:rsid w:val="00AC1944"/>
    <w:rsid w:val="00AC233A"/>
    <w:rsid w:val="00AD2883"/>
    <w:rsid w:val="00AD6C9A"/>
    <w:rsid w:val="00AE3704"/>
    <w:rsid w:val="00AF1D40"/>
    <w:rsid w:val="00AF2E64"/>
    <w:rsid w:val="00B04CBF"/>
    <w:rsid w:val="00B05380"/>
    <w:rsid w:val="00B05962"/>
    <w:rsid w:val="00B15449"/>
    <w:rsid w:val="00B250C5"/>
    <w:rsid w:val="00B27303"/>
    <w:rsid w:val="00B31949"/>
    <w:rsid w:val="00B424EC"/>
    <w:rsid w:val="00B47FD1"/>
    <w:rsid w:val="00B516BB"/>
    <w:rsid w:val="00B54AB9"/>
    <w:rsid w:val="00B54E23"/>
    <w:rsid w:val="00B722AD"/>
    <w:rsid w:val="00B73A12"/>
    <w:rsid w:val="00B839B4"/>
    <w:rsid w:val="00B84DB2"/>
    <w:rsid w:val="00BC3555"/>
    <w:rsid w:val="00BD13C8"/>
    <w:rsid w:val="00BE15FD"/>
    <w:rsid w:val="00BE41BA"/>
    <w:rsid w:val="00C12B51"/>
    <w:rsid w:val="00C24650"/>
    <w:rsid w:val="00C25465"/>
    <w:rsid w:val="00C33079"/>
    <w:rsid w:val="00C34D14"/>
    <w:rsid w:val="00C8111E"/>
    <w:rsid w:val="00C83954"/>
    <w:rsid w:val="00C83A13"/>
    <w:rsid w:val="00C9068C"/>
    <w:rsid w:val="00C92967"/>
    <w:rsid w:val="00C93B9D"/>
    <w:rsid w:val="00CA20E0"/>
    <w:rsid w:val="00CA3D0C"/>
    <w:rsid w:val="00CA654B"/>
    <w:rsid w:val="00CB05D3"/>
    <w:rsid w:val="00CB151F"/>
    <w:rsid w:val="00CB5B39"/>
    <w:rsid w:val="00CB72B8"/>
    <w:rsid w:val="00CD4C7B"/>
    <w:rsid w:val="00CD747A"/>
    <w:rsid w:val="00CE5C16"/>
    <w:rsid w:val="00CF4DB5"/>
    <w:rsid w:val="00CF7794"/>
    <w:rsid w:val="00D010CE"/>
    <w:rsid w:val="00D0432D"/>
    <w:rsid w:val="00D04E12"/>
    <w:rsid w:val="00D24F3F"/>
    <w:rsid w:val="00D33BE3"/>
    <w:rsid w:val="00D3792D"/>
    <w:rsid w:val="00D528DE"/>
    <w:rsid w:val="00D55E47"/>
    <w:rsid w:val="00D62E19"/>
    <w:rsid w:val="00D67CD1"/>
    <w:rsid w:val="00D7341D"/>
    <w:rsid w:val="00D738D6"/>
    <w:rsid w:val="00D80795"/>
    <w:rsid w:val="00D854BE"/>
    <w:rsid w:val="00D8746F"/>
    <w:rsid w:val="00D87E00"/>
    <w:rsid w:val="00D87E97"/>
    <w:rsid w:val="00D9134D"/>
    <w:rsid w:val="00D96D11"/>
    <w:rsid w:val="00D97007"/>
    <w:rsid w:val="00DA20C6"/>
    <w:rsid w:val="00DA7A03"/>
    <w:rsid w:val="00DB0DB8"/>
    <w:rsid w:val="00DB1818"/>
    <w:rsid w:val="00DC2AC4"/>
    <w:rsid w:val="00DC309B"/>
    <w:rsid w:val="00DC3388"/>
    <w:rsid w:val="00DC4DA2"/>
    <w:rsid w:val="00DF04A2"/>
    <w:rsid w:val="00DF4E0C"/>
    <w:rsid w:val="00DF622D"/>
    <w:rsid w:val="00E026B2"/>
    <w:rsid w:val="00E114D6"/>
    <w:rsid w:val="00E46C08"/>
    <w:rsid w:val="00E471CF"/>
    <w:rsid w:val="00E500CC"/>
    <w:rsid w:val="00E62835"/>
    <w:rsid w:val="00E64F79"/>
    <w:rsid w:val="00E77645"/>
    <w:rsid w:val="00E83697"/>
    <w:rsid w:val="00E91430"/>
    <w:rsid w:val="00EA1A55"/>
    <w:rsid w:val="00EA3CDE"/>
    <w:rsid w:val="00EC07D7"/>
    <w:rsid w:val="00EC4A25"/>
    <w:rsid w:val="00ED7D53"/>
    <w:rsid w:val="00EE3BD6"/>
    <w:rsid w:val="00F025A2"/>
    <w:rsid w:val="00F07388"/>
    <w:rsid w:val="00F1297D"/>
    <w:rsid w:val="00F2026E"/>
    <w:rsid w:val="00F2210A"/>
    <w:rsid w:val="00F30286"/>
    <w:rsid w:val="00F31486"/>
    <w:rsid w:val="00F314F6"/>
    <w:rsid w:val="00F33C6F"/>
    <w:rsid w:val="00F37743"/>
    <w:rsid w:val="00F54A3D"/>
    <w:rsid w:val="00F54CB0"/>
    <w:rsid w:val="00F64D66"/>
    <w:rsid w:val="00F653B8"/>
    <w:rsid w:val="00F71B89"/>
    <w:rsid w:val="00F7353C"/>
    <w:rsid w:val="00F76E85"/>
    <w:rsid w:val="00F76F8F"/>
    <w:rsid w:val="00F90D9E"/>
    <w:rsid w:val="00F93A3B"/>
    <w:rsid w:val="00F941DF"/>
    <w:rsid w:val="00FA1266"/>
    <w:rsid w:val="00FA4638"/>
    <w:rsid w:val="00FA5B60"/>
    <w:rsid w:val="00FB2597"/>
    <w:rsid w:val="00FB36FA"/>
    <w:rsid w:val="00FC1192"/>
    <w:rsid w:val="00FD1019"/>
    <w:rsid w:val="00FD6706"/>
    <w:rsid w:val="00FD7B63"/>
    <w:rsid w:val="00FE251B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69744DE5"/>
  <w15:chartTrackingRefBased/>
  <w15:docId w15:val="{982388BD-3ECB-AD48-B1C0-A113C898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AC194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C1944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AC1944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lang w:eastAsia="ja-JP"/>
    </w:rPr>
  </w:style>
  <w:style w:type="table" w:styleId="TableGrid">
    <w:name w:val="Table Grid"/>
    <w:basedOn w:val="TableNormal"/>
    <w:rsid w:val="00AC1944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locked/>
    <w:rsid w:val="00AC1944"/>
    <w:rPr>
      <w:lang w:eastAsia="en-US"/>
    </w:rPr>
  </w:style>
  <w:style w:type="character" w:customStyle="1" w:styleId="B1Char">
    <w:name w:val="B1 Char"/>
    <w:link w:val="B1"/>
    <w:rsid w:val="00AC1944"/>
    <w:rPr>
      <w:lang w:eastAsia="en-US"/>
    </w:rPr>
  </w:style>
  <w:style w:type="character" w:customStyle="1" w:styleId="B2Char">
    <w:name w:val="B2 Char"/>
    <w:link w:val="B2"/>
    <w:qFormat/>
    <w:rsid w:val="00AC1944"/>
    <w:rPr>
      <w:lang w:eastAsia="en-US"/>
    </w:rPr>
  </w:style>
  <w:style w:type="character" w:customStyle="1" w:styleId="B3Char">
    <w:name w:val="B3 Char"/>
    <w:link w:val="B3"/>
    <w:rsid w:val="00AC1944"/>
    <w:rPr>
      <w:lang w:eastAsia="en-US"/>
    </w:rPr>
  </w:style>
  <w:style w:type="paragraph" w:styleId="ListParagraph">
    <w:name w:val="List Paragraph"/>
    <w:basedOn w:val="Normal"/>
    <w:uiPriority w:val="34"/>
    <w:qFormat/>
    <w:rsid w:val="0001664A"/>
    <w:pPr>
      <w:ind w:left="720"/>
      <w:contextualSpacing/>
    </w:pPr>
  </w:style>
  <w:style w:type="character" w:styleId="CommentReference">
    <w:name w:val="annotation reference"/>
    <w:basedOn w:val="DefaultParagraphFont"/>
    <w:rsid w:val="001362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20A"/>
  </w:style>
  <w:style w:type="character" w:customStyle="1" w:styleId="CommentTextChar">
    <w:name w:val="Comment Text Char"/>
    <w:basedOn w:val="DefaultParagraphFont"/>
    <w:link w:val="CommentText"/>
    <w:rsid w:val="0013620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36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620A"/>
    <w:rPr>
      <w:b/>
      <w:bCs/>
      <w:lang w:eastAsia="en-US"/>
    </w:rPr>
  </w:style>
  <w:style w:type="paragraph" w:styleId="Revision">
    <w:name w:val="Revision"/>
    <w:hidden/>
    <w:uiPriority w:val="99"/>
    <w:semiHidden/>
    <w:rsid w:val="0013620A"/>
    <w:rPr>
      <w:lang w:eastAsia="en-US"/>
    </w:rPr>
  </w:style>
  <w:style w:type="character" w:styleId="UnresolvedMention">
    <w:name w:val="Unresolved Mention"/>
    <w:basedOn w:val="DefaultParagraphFont"/>
    <w:rsid w:val="0094148F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21192"/>
    <w:pPr>
      <w:spacing w:before="100" w:beforeAutospacing="1" w:after="100" w:afterAutospacing="1"/>
    </w:pPr>
    <w:rPr>
      <w:rFonts w:eastAsiaTheme="minorEastAsia"/>
      <w:sz w:val="24"/>
      <w:szCs w:val="24"/>
      <w:lang w:val="da-DK" w:eastAsia="da-DK"/>
    </w:rPr>
  </w:style>
  <w:style w:type="paragraph" w:styleId="Caption">
    <w:name w:val="caption"/>
    <w:basedOn w:val="Normal"/>
    <w:next w:val="Normal"/>
    <w:unhideWhenUsed/>
    <w:qFormat/>
    <w:rsid w:val="00321192"/>
    <w:pPr>
      <w:spacing w:after="200"/>
    </w:pPr>
    <w:rPr>
      <w:rFonts w:ascii="Arial" w:hAnsi="Arial"/>
      <w:i/>
      <w:iCs/>
      <w:color w:val="44546A" w:themeColor="text2"/>
      <w:sz w:val="18"/>
      <w:szCs w:val="18"/>
    </w:rPr>
  </w:style>
  <w:style w:type="character" w:customStyle="1" w:styleId="normaltextrun1">
    <w:name w:val="normaltextrun1"/>
    <w:basedOn w:val="DefaultParagraphFont"/>
    <w:rsid w:val="00D010CE"/>
  </w:style>
  <w:style w:type="paragraph" w:customStyle="1" w:styleId="paragraph">
    <w:name w:val="paragraph"/>
    <w:basedOn w:val="Normal"/>
    <w:rsid w:val="005A4415"/>
    <w:pPr>
      <w:spacing w:after="0"/>
    </w:pPr>
    <w:rPr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5A4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31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13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50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397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70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432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0259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77504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2195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6975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71527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95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7332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4384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7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DynaReport/38889.ht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5AIRPNAIUNRU-859666464-5107</_dlc_DocId>
    <_dlc_DocIdUrl xmlns="71c5aaf6-e6ce-465b-b873-5148d2a4c105">
      <Url>https://nokia.sharepoint.com/sites/c5g/e2earch/_layouts/15/DocIdRedir.aspx?ID=5AIRPNAIUNRU-859666464-5107</Url>
      <Description>5AIRPNAIUNRU-859666464-5107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3b34c8f0-1ef5-4d1e-bb66-517ce7fe7356"/>
    <ds:schemaRef ds:uri="http://schemas.microsoft.com/office/infopath/2007/PartnerControls"/>
    <ds:schemaRef ds:uri="83f22d2f-d16e-4be6-ad4f-29fa0b067c3c"/>
    <ds:schemaRef ds:uri="a3840f4f-04be-43d1-b2ef-6ff1382503c7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0D61577-CC43-4290-A48A-CCF21CEE0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825</TotalTime>
  <Pages>4</Pages>
  <Words>1978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Wu, Chunli (NSB - CN/Beijing)</dc:creator>
  <cp:keywords/>
  <cp:lastModifiedBy>Nokia-GWO4</cp:lastModifiedBy>
  <cp:revision>25</cp:revision>
  <dcterms:created xsi:type="dcterms:W3CDTF">2019-04-30T08:38:00Z</dcterms:created>
  <dcterms:modified xsi:type="dcterms:W3CDTF">2019-05-03T05:43:00Z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e7ed002e-b0ed-4759-b422-2a821bec287e</vt:lpwstr>
  </property>
</Properties>
</file>